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8EC2" w14:textId="7F256732" w:rsidR="002E558A" w:rsidRPr="002E558A" w:rsidRDefault="002B59C7" w:rsidP="007B5303">
      <w:pPr>
        <w:ind w:left="0"/>
      </w:pPr>
      <w:r w:rsidRPr="00DB74A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3B9751" wp14:editId="0ED22CD8">
                <wp:simplePos x="0" y="0"/>
                <wp:positionH relativeFrom="page">
                  <wp:posOffset>1487805</wp:posOffset>
                </wp:positionH>
                <wp:positionV relativeFrom="margin">
                  <wp:posOffset>-5975061</wp:posOffset>
                </wp:positionV>
                <wp:extent cx="1837055" cy="1600200"/>
                <wp:effectExtent l="0" t="0" r="1079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2EAF0" w14:textId="6DB238C0" w:rsidR="00D90E9C" w:rsidRPr="00150B97" w:rsidRDefault="00D90E9C" w:rsidP="002E558A">
                            <w:pPr>
                              <w:spacing w:after="0" w:line="276" w:lineRule="auto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 xml:space="preserve">Group </w:t>
                            </w:r>
                            <w:r w:rsidR="00E733BB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Reserves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 xml:space="preserve"> Policy</w:t>
                            </w:r>
                          </w:p>
                          <w:p w14:paraId="7EDFD499" w14:textId="77777777" w:rsidR="00D90E9C" w:rsidRPr="00150B97" w:rsidRDefault="00D90E9C" w:rsidP="002E558A">
                            <w:pPr>
                              <w:spacing w:after="0" w:line="276" w:lineRule="auto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955BB79" w14:textId="1F8F59BD" w:rsidR="00D90E9C" w:rsidRPr="00150B97" w:rsidRDefault="00E733BB" w:rsidP="002E558A">
                            <w:pPr>
                              <w:spacing w:after="0" w:line="276" w:lineRule="auto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>Ju</w:t>
                            </w:r>
                            <w:r w:rsidR="00862397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>ly</w:t>
                            </w:r>
                            <w:r w:rsidR="00D90E9C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B975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7.15pt;margin-top:-470.5pt;width:144.65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" filled="f" stroked="f">
                <v:textbox inset="0,0,0,0">
                  <w:txbxContent>
                    <w:p w14:paraId="7A32EAF0" w14:textId="6DB238C0" w:rsidR="00D90E9C" w:rsidRPr="00150B97" w:rsidRDefault="00D90E9C" w:rsidP="002E558A">
                      <w:pPr>
                        <w:spacing w:after="0" w:line="276" w:lineRule="auto"/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 xml:space="preserve">Group </w:t>
                      </w:r>
                      <w:r w:rsidR="00E733BB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Reserves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 xml:space="preserve"> Policy</w:t>
                      </w:r>
                    </w:p>
                    <w:p w14:paraId="7EDFD499" w14:textId="77777777" w:rsidR="00D90E9C" w:rsidRPr="00150B97" w:rsidRDefault="00D90E9C" w:rsidP="002E558A">
                      <w:pPr>
                        <w:spacing w:after="0" w:line="276" w:lineRule="auto"/>
                        <w:ind w:left="0"/>
                        <w:jc w:val="center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</w:p>
                    <w:p w14:paraId="4955BB79" w14:textId="1F8F59BD" w:rsidR="00D90E9C" w:rsidRPr="00150B97" w:rsidRDefault="00E733BB" w:rsidP="002E558A">
                      <w:pPr>
                        <w:spacing w:after="0" w:line="276" w:lineRule="auto"/>
                        <w:ind w:left="0"/>
                        <w:jc w:val="center"/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>Ju</w:t>
                      </w:r>
                      <w:r w:rsidR="00862397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>ly</w:t>
                      </w:r>
                      <w:r w:rsidR="00D90E9C">
                        <w:rPr>
                          <w:rFonts w:asciiTheme="minorHAnsi" w:hAnsiTheme="minorHAnsi" w:cstheme="minorHAnsi"/>
                          <w:bCs/>
                          <w:sz w:val="28"/>
                          <w:szCs w:val="28"/>
                        </w:rPr>
                        <w:t xml:space="preserve"> 2021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01A73D59" w14:textId="1FA96084" w:rsidR="002B59C7" w:rsidRDefault="002B59C7" w:rsidP="002B59C7">
      <w:pPr>
        <w:tabs>
          <w:tab w:val="left" w:pos="2138"/>
        </w:tabs>
        <w:ind w:left="0"/>
        <w:rPr>
          <w:bCs/>
        </w:rPr>
      </w:pPr>
    </w:p>
    <w:sdt>
      <w:sdtPr>
        <w:rPr>
          <w:rFonts w:ascii="Arial" w:hAnsi="Arial" w:cs="Times New Roman"/>
          <w:bCs w:val="0"/>
          <w:color w:val="auto"/>
          <w:sz w:val="18"/>
          <w:szCs w:val="20"/>
          <w:lang w:val="en-GB" w:eastAsia="en-GB"/>
        </w:rPr>
        <w:id w:val="-1988082148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050C55FE" w14:textId="28E3C319" w:rsidR="005F03A1" w:rsidRPr="00047B30" w:rsidRDefault="005F03A1">
          <w:pPr>
            <w:pStyle w:val="TOCHeading"/>
            <w:rPr>
              <w:rFonts w:asciiTheme="minorHAnsi" w:hAnsiTheme="minorHAnsi" w:cstheme="minorHAnsi"/>
              <w:b/>
              <w:bCs w:val="0"/>
              <w:color w:val="auto"/>
              <w:sz w:val="40"/>
              <w:szCs w:val="40"/>
            </w:rPr>
          </w:pPr>
          <w:r w:rsidRPr="00047B30">
            <w:rPr>
              <w:rFonts w:asciiTheme="minorHAnsi" w:hAnsiTheme="minorHAnsi" w:cstheme="minorHAnsi"/>
              <w:b/>
              <w:bCs w:val="0"/>
              <w:color w:val="auto"/>
              <w:sz w:val="40"/>
              <w:szCs w:val="40"/>
            </w:rPr>
            <w:t>Contents</w:t>
          </w:r>
        </w:p>
        <w:p w14:paraId="70C13308" w14:textId="47B400E2" w:rsidR="00EB280E" w:rsidRDefault="005F03A1">
          <w:pPr>
            <w:pStyle w:val="TOC2"/>
            <w:rPr>
              <w:rFonts w:eastAsiaTheme="minorEastAsia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8401059" w:history="1">
            <w:r w:rsidR="00EB280E" w:rsidRPr="00157FE0">
              <w:rPr>
                <w:rStyle w:val="Hyperlink"/>
              </w:rPr>
              <w:t>1.</w:t>
            </w:r>
            <w:r w:rsidR="00EB280E">
              <w:rPr>
                <w:rFonts w:eastAsiaTheme="minorEastAsia" w:cstheme="minorBidi"/>
                <w:sz w:val="22"/>
                <w:szCs w:val="22"/>
              </w:rPr>
              <w:tab/>
            </w:r>
            <w:r w:rsidR="00EB280E" w:rsidRPr="00157FE0">
              <w:rPr>
                <w:rStyle w:val="Hyperlink"/>
              </w:rPr>
              <w:t>Purpose and Scope</w:t>
            </w:r>
            <w:r w:rsidR="00EB280E">
              <w:rPr>
                <w:webHidden/>
              </w:rPr>
              <w:tab/>
            </w:r>
            <w:r w:rsidR="00EB280E">
              <w:rPr>
                <w:webHidden/>
              </w:rPr>
              <w:fldChar w:fldCharType="begin"/>
            </w:r>
            <w:r w:rsidR="00EB280E">
              <w:rPr>
                <w:webHidden/>
              </w:rPr>
              <w:instrText xml:space="preserve"> PAGEREF _Toc78401059 \h </w:instrText>
            </w:r>
            <w:r w:rsidR="00EB280E">
              <w:rPr>
                <w:webHidden/>
              </w:rPr>
            </w:r>
            <w:r w:rsidR="00EB280E">
              <w:rPr>
                <w:webHidden/>
              </w:rPr>
              <w:fldChar w:fldCharType="separate"/>
            </w:r>
            <w:r w:rsidR="0048296D">
              <w:rPr>
                <w:webHidden/>
              </w:rPr>
              <w:t>3</w:t>
            </w:r>
            <w:r w:rsidR="00EB280E">
              <w:rPr>
                <w:webHidden/>
              </w:rPr>
              <w:fldChar w:fldCharType="end"/>
            </w:r>
          </w:hyperlink>
        </w:p>
        <w:p w14:paraId="3ECF9FA9" w14:textId="1B4862FC" w:rsidR="00EB280E" w:rsidRDefault="00253743">
          <w:pPr>
            <w:pStyle w:val="TOC2"/>
            <w:rPr>
              <w:rFonts w:eastAsiaTheme="minorEastAsia" w:cstheme="minorBidi"/>
              <w:sz w:val="22"/>
              <w:szCs w:val="22"/>
            </w:rPr>
          </w:pPr>
          <w:hyperlink w:anchor="_Toc78401060" w:history="1">
            <w:r w:rsidR="00EB280E" w:rsidRPr="00157FE0">
              <w:rPr>
                <w:rStyle w:val="Hyperlink"/>
              </w:rPr>
              <w:t>2.</w:t>
            </w:r>
            <w:r w:rsidR="00EB280E">
              <w:rPr>
                <w:rFonts w:eastAsiaTheme="minorEastAsia" w:cstheme="minorBidi"/>
                <w:sz w:val="22"/>
                <w:szCs w:val="22"/>
              </w:rPr>
              <w:tab/>
            </w:r>
            <w:r w:rsidR="00EB280E" w:rsidRPr="00157FE0">
              <w:rPr>
                <w:rStyle w:val="Hyperlink"/>
              </w:rPr>
              <w:t>Summary of Financial Management</w:t>
            </w:r>
            <w:r w:rsidR="00EB280E">
              <w:rPr>
                <w:webHidden/>
              </w:rPr>
              <w:tab/>
            </w:r>
            <w:r w:rsidR="00EB280E">
              <w:rPr>
                <w:webHidden/>
              </w:rPr>
              <w:fldChar w:fldCharType="begin"/>
            </w:r>
            <w:r w:rsidR="00EB280E">
              <w:rPr>
                <w:webHidden/>
              </w:rPr>
              <w:instrText xml:space="preserve"> PAGEREF _Toc78401060 \h </w:instrText>
            </w:r>
            <w:r w:rsidR="00EB280E">
              <w:rPr>
                <w:webHidden/>
              </w:rPr>
            </w:r>
            <w:r w:rsidR="00EB280E">
              <w:rPr>
                <w:webHidden/>
              </w:rPr>
              <w:fldChar w:fldCharType="separate"/>
            </w:r>
            <w:r w:rsidR="0048296D">
              <w:rPr>
                <w:webHidden/>
              </w:rPr>
              <w:t>3</w:t>
            </w:r>
            <w:r w:rsidR="00EB280E">
              <w:rPr>
                <w:webHidden/>
              </w:rPr>
              <w:fldChar w:fldCharType="end"/>
            </w:r>
          </w:hyperlink>
        </w:p>
        <w:p w14:paraId="3E2CE3A5" w14:textId="7413A6A9" w:rsidR="00EB280E" w:rsidRDefault="00253743">
          <w:pPr>
            <w:pStyle w:val="TOC2"/>
            <w:rPr>
              <w:rFonts w:eastAsiaTheme="minorEastAsia" w:cstheme="minorBidi"/>
              <w:sz w:val="22"/>
              <w:szCs w:val="22"/>
            </w:rPr>
          </w:pPr>
          <w:hyperlink w:anchor="_Toc78401061" w:history="1">
            <w:r w:rsidR="00EB280E" w:rsidRPr="00157FE0">
              <w:rPr>
                <w:rStyle w:val="Hyperlink"/>
              </w:rPr>
              <w:t>3.</w:t>
            </w:r>
            <w:r w:rsidR="00EB280E">
              <w:rPr>
                <w:rFonts w:eastAsiaTheme="minorEastAsia" w:cstheme="minorBidi"/>
                <w:sz w:val="22"/>
                <w:szCs w:val="22"/>
              </w:rPr>
              <w:tab/>
            </w:r>
            <w:r w:rsidR="00EB280E" w:rsidRPr="00157FE0">
              <w:rPr>
                <w:rStyle w:val="Hyperlink"/>
                <w:rFonts w:ascii="Calibri" w:hAnsi="Calibri" w:cs="Calibri"/>
              </w:rPr>
              <w:t>Risk and resilience</w:t>
            </w:r>
            <w:r w:rsidR="00EB280E">
              <w:rPr>
                <w:webHidden/>
              </w:rPr>
              <w:tab/>
            </w:r>
            <w:r w:rsidR="00EB280E">
              <w:rPr>
                <w:webHidden/>
              </w:rPr>
              <w:fldChar w:fldCharType="begin"/>
            </w:r>
            <w:r w:rsidR="00EB280E">
              <w:rPr>
                <w:webHidden/>
              </w:rPr>
              <w:instrText xml:space="preserve"> PAGEREF _Toc78401061 \h </w:instrText>
            </w:r>
            <w:r w:rsidR="00EB280E">
              <w:rPr>
                <w:webHidden/>
              </w:rPr>
            </w:r>
            <w:r w:rsidR="00EB280E">
              <w:rPr>
                <w:webHidden/>
              </w:rPr>
              <w:fldChar w:fldCharType="separate"/>
            </w:r>
            <w:r w:rsidR="0048296D">
              <w:rPr>
                <w:webHidden/>
              </w:rPr>
              <w:t>3</w:t>
            </w:r>
            <w:r w:rsidR="00EB280E">
              <w:rPr>
                <w:webHidden/>
              </w:rPr>
              <w:fldChar w:fldCharType="end"/>
            </w:r>
          </w:hyperlink>
        </w:p>
        <w:p w14:paraId="5B261532" w14:textId="2471DDF5" w:rsidR="00EB280E" w:rsidRDefault="00253743">
          <w:pPr>
            <w:pStyle w:val="TOC2"/>
            <w:rPr>
              <w:rFonts w:eastAsiaTheme="minorEastAsia" w:cstheme="minorBidi"/>
              <w:sz w:val="22"/>
              <w:szCs w:val="22"/>
            </w:rPr>
          </w:pPr>
          <w:hyperlink w:anchor="_Toc78401062" w:history="1">
            <w:r w:rsidR="00EB280E" w:rsidRPr="00157FE0">
              <w:rPr>
                <w:rStyle w:val="Hyperlink"/>
              </w:rPr>
              <w:t>4.</w:t>
            </w:r>
            <w:r w:rsidR="00EB280E">
              <w:rPr>
                <w:rFonts w:eastAsiaTheme="minorEastAsia" w:cstheme="minorBidi"/>
                <w:sz w:val="22"/>
                <w:szCs w:val="22"/>
              </w:rPr>
              <w:tab/>
            </w:r>
            <w:r w:rsidR="00EB280E" w:rsidRPr="00157FE0">
              <w:rPr>
                <w:rStyle w:val="Hyperlink"/>
                <w:rFonts w:ascii="Calibri" w:hAnsi="Calibri" w:cs="Calibri"/>
              </w:rPr>
              <w:t>Reserve levels</w:t>
            </w:r>
            <w:r w:rsidR="00EB280E">
              <w:rPr>
                <w:webHidden/>
              </w:rPr>
              <w:tab/>
            </w:r>
            <w:r w:rsidR="00EB280E">
              <w:rPr>
                <w:webHidden/>
              </w:rPr>
              <w:fldChar w:fldCharType="begin"/>
            </w:r>
            <w:r w:rsidR="00EB280E">
              <w:rPr>
                <w:webHidden/>
              </w:rPr>
              <w:instrText xml:space="preserve"> PAGEREF _Toc78401062 \h </w:instrText>
            </w:r>
            <w:r w:rsidR="00EB280E">
              <w:rPr>
                <w:webHidden/>
              </w:rPr>
            </w:r>
            <w:r w:rsidR="00EB280E">
              <w:rPr>
                <w:webHidden/>
              </w:rPr>
              <w:fldChar w:fldCharType="separate"/>
            </w:r>
            <w:r w:rsidR="0048296D">
              <w:rPr>
                <w:webHidden/>
              </w:rPr>
              <w:t>4</w:t>
            </w:r>
            <w:r w:rsidR="00EB280E">
              <w:rPr>
                <w:webHidden/>
              </w:rPr>
              <w:fldChar w:fldCharType="end"/>
            </w:r>
          </w:hyperlink>
        </w:p>
        <w:p w14:paraId="5F07FA5A" w14:textId="62F0E0C2" w:rsidR="00EB280E" w:rsidRDefault="00253743">
          <w:pPr>
            <w:pStyle w:val="TOC2"/>
            <w:rPr>
              <w:rFonts w:eastAsiaTheme="minorEastAsia" w:cstheme="minorBidi"/>
              <w:sz w:val="22"/>
              <w:szCs w:val="22"/>
            </w:rPr>
          </w:pPr>
          <w:hyperlink w:anchor="_Toc78401063" w:history="1">
            <w:r w:rsidR="00EB280E" w:rsidRPr="00157FE0">
              <w:rPr>
                <w:rStyle w:val="Hyperlink"/>
              </w:rPr>
              <w:t>5.</w:t>
            </w:r>
            <w:r w:rsidR="00EB280E">
              <w:rPr>
                <w:rFonts w:eastAsiaTheme="minorEastAsia" w:cstheme="minorBidi"/>
                <w:sz w:val="22"/>
                <w:szCs w:val="22"/>
              </w:rPr>
              <w:tab/>
            </w:r>
            <w:r w:rsidR="00EB280E" w:rsidRPr="00157FE0">
              <w:rPr>
                <w:rStyle w:val="Hyperlink"/>
                <w:rFonts w:ascii="Calibri" w:hAnsi="Calibri" w:cs="Calibri"/>
              </w:rPr>
              <w:t>Investment of reserves</w:t>
            </w:r>
            <w:r w:rsidR="00EB280E">
              <w:rPr>
                <w:webHidden/>
              </w:rPr>
              <w:tab/>
            </w:r>
            <w:r w:rsidR="00EB280E">
              <w:rPr>
                <w:webHidden/>
              </w:rPr>
              <w:fldChar w:fldCharType="begin"/>
            </w:r>
            <w:r w:rsidR="00EB280E">
              <w:rPr>
                <w:webHidden/>
              </w:rPr>
              <w:instrText xml:space="preserve"> PAGEREF _Toc78401063 \h </w:instrText>
            </w:r>
            <w:r w:rsidR="00EB280E">
              <w:rPr>
                <w:webHidden/>
              </w:rPr>
            </w:r>
            <w:r w:rsidR="00EB280E">
              <w:rPr>
                <w:webHidden/>
              </w:rPr>
              <w:fldChar w:fldCharType="separate"/>
            </w:r>
            <w:r w:rsidR="0048296D">
              <w:rPr>
                <w:webHidden/>
              </w:rPr>
              <w:t>4</w:t>
            </w:r>
            <w:r w:rsidR="00EB280E">
              <w:rPr>
                <w:webHidden/>
              </w:rPr>
              <w:fldChar w:fldCharType="end"/>
            </w:r>
          </w:hyperlink>
        </w:p>
        <w:p w14:paraId="501C2AB5" w14:textId="59C9CF58" w:rsidR="00EB280E" w:rsidRDefault="00253743">
          <w:pPr>
            <w:pStyle w:val="TOC2"/>
            <w:rPr>
              <w:rFonts w:eastAsiaTheme="minorEastAsia" w:cstheme="minorBidi"/>
              <w:sz w:val="22"/>
              <w:szCs w:val="22"/>
            </w:rPr>
          </w:pPr>
          <w:hyperlink w:anchor="_Toc78401064" w:history="1">
            <w:r w:rsidR="00EB280E" w:rsidRPr="00157FE0">
              <w:rPr>
                <w:rStyle w:val="Hyperlink"/>
              </w:rPr>
              <w:t>6.</w:t>
            </w:r>
            <w:r w:rsidR="00EB280E">
              <w:rPr>
                <w:rFonts w:eastAsiaTheme="minorEastAsia" w:cstheme="minorBidi"/>
                <w:sz w:val="22"/>
                <w:szCs w:val="22"/>
              </w:rPr>
              <w:tab/>
            </w:r>
            <w:r w:rsidR="00EB280E" w:rsidRPr="00157FE0">
              <w:rPr>
                <w:rStyle w:val="Hyperlink"/>
                <w:rFonts w:ascii="Calibri" w:hAnsi="Calibri" w:cs="Calibri"/>
              </w:rPr>
              <w:t>Reporting and communication of policy</w:t>
            </w:r>
            <w:r w:rsidR="00EB280E">
              <w:rPr>
                <w:webHidden/>
              </w:rPr>
              <w:tab/>
            </w:r>
            <w:r w:rsidR="00EB280E">
              <w:rPr>
                <w:webHidden/>
              </w:rPr>
              <w:fldChar w:fldCharType="begin"/>
            </w:r>
            <w:r w:rsidR="00EB280E">
              <w:rPr>
                <w:webHidden/>
              </w:rPr>
              <w:instrText xml:space="preserve"> PAGEREF _Toc78401064 \h </w:instrText>
            </w:r>
            <w:r w:rsidR="00EB280E">
              <w:rPr>
                <w:webHidden/>
              </w:rPr>
            </w:r>
            <w:r w:rsidR="00EB280E">
              <w:rPr>
                <w:webHidden/>
              </w:rPr>
              <w:fldChar w:fldCharType="separate"/>
            </w:r>
            <w:r w:rsidR="0048296D">
              <w:rPr>
                <w:webHidden/>
              </w:rPr>
              <w:t>4</w:t>
            </w:r>
            <w:r w:rsidR="00EB280E">
              <w:rPr>
                <w:webHidden/>
              </w:rPr>
              <w:fldChar w:fldCharType="end"/>
            </w:r>
          </w:hyperlink>
        </w:p>
        <w:p w14:paraId="639F3DB0" w14:textId="3EF5C61B" w:rsidR="00EB280E" w:rsidRDefault="00253743">
          <w:pPr>
            <w:pStyle w:val="TOC2"/>
            <w:rPr>
              <w:rFonts w:eastAsiaTheme="minorEastAsia" w:cstheme="minorBidi"/>
              <w:sz w:val="22"/>
              <w:szCs w:val="22"/>
            </w:rPr>
          </w:pPr>
          <w:hyperlink w:anchor="_Toc78401065" w:history="1">
            <w:r w:rsidR="00EB280E" w:rsidRPr="00157FE0">
              <w:rPr>
                <w:rStyle w:val="Hyperlink"/>
              </w:rPr>
              <w:t>7.</w:t>
            </w:r>
            <w:r w:rsidR="00EB280E">
              <w:rPr>
                <w:rFonts w:eastAsiaTheme="minorEastAsia" w:cstheme="minorBidi"/>
                <w:sz w:val="22"/>
                <w:szCs w:val="22"/>
              </w:rPr>
              <w:tab/>
            </w:r>
            <w:r w:rsidR="00EB280E" w:rsidRPr="00157FE0">
              <w:rPr>
                <w:rStyle w:val="Hyperlink"/>
              </w:rPr>
              <w:t>Review of Policy</w:t>
            </w:r>
            <w:r w:rsidR="00EB280E">
              <w:rPr>
                <w:webHidden/>
              </w:rPr>
              <w:tab/>
            </w:r>
            <w:r w:rsidR="00EB280E">
              <w:rPr>
                <w:webHidden/>
              </w:rPr>
              <w:fldChar w:fldCharType="begin"/>
            </w:r>
            <w:r w:rsidR="00EB280E">
              <w:rPr>
                <w:webHidden/>
              </w:rPr>
              <w:instrText xml:space="preserve"> PAGEREF _Toc78401065 \h </w:instrText>
            </w:r>
            <w:r w:rsidR="00EB280E">
              <w:rPr>
                <w:webHidden/>
              </w:rPr>
            </w:r>
            <w:r w:rsidR="00EB280E">
              <w:rPr>
                <w:webHidden/>
              </w:rPr>
              <w:fldChar w:fldCharType="separate"/>
            </w:r>
            <w:r w:rsidR="0048296D">
              <w:rPr>
                <w:webHidden/>
              </w:rPr>
              <w:t>5</w:t>
            </w:r>
            <w:r w:rsidR="00EB280E">
              <w:rPr>
                <w:webHidden/>
              </w:rPr>
              <w:fldChar w:fldCharType="end"/>
            </w:r>
          </w:hyperlink>
        </w:p>
        <w:p w14:paraId="6F0E8444" w14:textId="0C8D4E94" w:rsidR="00EB280E" w:rsidRDefault="0025374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</w:rPr>
          </w:pPr>
          <w:hyperlink w:anchor="_Toc78401066" w:history="1">
            <w:r w:rsidR="00EB280E" w:rsidRPr="00157FE0">
              <w:rPr>
                <w:rStyle w:val="Hyperlink"/>
                <w:rFonts w:cstheme="minorHAnsi"/>
              </w:rPr>
              <w:t>APPENDIX A – Charity Reserves Calculation 2021/22</w:t>
            </w:r>
            <w:r w:rsidR="00EB280E">
              <w:rPr>
                <w:webHidden/>
              </w:rPr>
              <w:tab/>
            </w:r>
            <w:r w:rsidR="00EB280E">
              <w:rPr>
                <w:webHidden/>
              </w:rPr>
              <w:fldChar w:fldCharType="begin"/>
            </w:r>
            <w:r w:rsidR="00EB280E">
              <w:rPr>
                <w:webHidden/>
              </w:rPr>
              <w:instrText xml:space="preserve"> PAGEREF _Toc78401066 \h </w:instrText>
            </w:r>
            <w:r w:rsidR="00EB280E">
              <w:rPr>
                <w:webHidden/>
              </w:rPr>
            </w:r>
            <w:r w:rsidR="00EB280E">
              <w:rPr>
                <w:webHidden/>
              </w:rPr>
              <w:fldChar w:fldCharType="separate"/>
            </w:r>
            <w:r w:rsidR="0048296D">
              <w:rPr>
                <w:webHidden/>
              </w:rPr>
              <w:t>6</w:t>
            </w:r>
            <w:r w:rsidR="00EB280E">
              <w:rPr>
                <w:webHidden/>
              </w:rPr>
              <w:fldChar w:fldCharType="end"/>
            </w:r>
          </w:hyperlink>
        </w:p>
        <w:p w14:paraId="454B99F6" w14:textId="1AF52429" w:rsidR="005F03A1" w:rsidRDefault="005F03A1">
          <w:r>
            <w:rPr>
              <w:b/>
              <w:bCs/>
              <w:noProof/>
            </w:rPr>
            <w:fldChar w:fldCharType="end"/>
          </w:r>
        </w:p>
      </w:sdtContent>
    </w:sdt>
    <w:p w14:paraId="50413411" w14:textId="1020A818" w:rsidR="00113D7C" w:rsidRPr="00BE62C5" w:rsidRDefault="00113D7C" w:rsidP="000D4A78">
      <w:pPr>
        <w:pStyle w:val="TOC1"/>
        <w:rPr>
          <w:rFonts w:eastAsiaTheme="minorEastAsia"/>
          <w:sz w:val="22"/>
          <w:szCs w:val="22"/>
        </w:rPr>
      </w:pPr>
      <w:r w:rsidRPr="0065293F">
        <w:rPr>
          <w:b w:val="0"/>
          <w:bCs w:val="0"/>
          <w:noProof w:val="0"/>
          <w:sz w:val="28"/>
          <w:szCs w:val="28"/>
        </w:rPr>
        <w:fldChar w:fldCharType="begin"/>
      </w:r>
      <w:r w:rsidRPr="0065293F">
        <w:rPr>
          <w:sz w:val="28"/>
          <w:szCs w:val="28"/>
        </w:rPr>
        <w:instrText xml:space="preserve"> TOC \o "1-3" \h \z \u </w:instrText>
      </w:r>
      <w:r w:rsidRPr="0065293F">
        <w:rPr>
          <w:b w:val="0"/>
          <w:bCs w:val="0"/>
          <w:noProof w:val="0"/>
          <w:sz w:val="28"/>
          <w:szCs w:val="28"/>
        </w:rPr>
        <w:fldChar w:fldCharType="separate"/>
      </w:r>
    </w:p>
    <w:p w14:paraId="29B02087" w14:textId="7B34748F" w:rsidR="00113D7C" w:rsidRPr="00BE62C5" w:rsidRDefault="00113D7C" w:rsidP="00113D7C">
      <w:pPr>
        <w:pStyle w:val="TOC1"/>
        <w:rPr>
          <w:rFonts w:eastAsiaTheme="minorEastAsia"/>
          <w:sz w:val="22"/>
          <w:szCs w:val="22"/>
        </w:rPr>
      </w:pPr>
    </w:p>
    <w:p w14:paraId="64968CF2" w14:textId="189D5783" w:rsidR="00F33FD7" w:rsidRDefault="00113D7C" w:rsidP="00F33FD7">
      <w:pPr>
        <w:tabs>
          <w:tab w:val="left" w:pos="2138"/>
        </w:tabs>
        <w:ind w:left="0"/>
      </w:pPr>
      <w:r w:rsidRPr="0065293F">
        <w:rPr>
          <w:rFonts w:asciiTheme="minorHAnsi" w:hAnsiTheme="minorHAnsi" w:cstheme="minorHAnsi"/>
          <w:b/>
          <w:bCs/>
          <w:noProof/>
          <w:sz w:val="28"/>
          <w:szCs w:val="28"/>
        </w:rPr>
        <w:fldChar w:fldCharType="end"/>
      </w:r>
    </w:p>
    <w:p w14:paraId="0514FA84" w14:textId="0CFD2DB6" w:rsidR="002E558A" w:rsidRDefault="002E558A" w:rsidP="002E558A">
      <w:pPr>
        <w:spacing w:after="0" w:line="240" w:lineRule="auto"/>
      </w:pPr>
    </w:p>
    <w:p w14:paraId="10DB54B3" w14:textId="77777777" w:rsidR="002E558A" w:rsidRPr="00852D87" w:rsidRDefault="002E558A" w:rsidP="002E558A">
      <w:pPr>
        <w:rPr>
          <w:rFonts w:asciiTheme="majorHAnsi" w:hAnsiTheme="majorHAnsi"/>
          <w:sz w:val="22"/>
          <w:szCs w:val="24"/>
        </w:rPr>
      </w:pPr>
    </w:p>
    <w:p w14:paraId="181D4442" w14:textId="7DA04F94" w:rsidR="002E558A" w:rsidRDefault="002E558A" w:rsidP="002E558A">
      <w:pPr>
        <w:tabs>
          <w:tab w:val="left" w:pos="2238"/>
        </w:tabs>
      </w:pPr>
    </w:p>
    <w:p w14:paraId="0A19D86E" w14:textId="1C90AA96" w:rsidR="00150B97" w:rsidRDefault="00150B97" w:rsidP="002E558A">
      <w:pPr>
        <w:tabs>
          <w:tab w:val="left" w:pos="2238"/>
        </w:tabs>
      </w:pPr>
    </w:p>
    <w:p w14:paraId="74ECFFED" w14:textId="55F45C6F" w:rsidR="00150B97" w:rsidRDefault="00150B97" w:rsidP="002E558A">
      <w:pPr>
        <w:tabs>
          <w:tab w:val="left" w:pos="2238"/>
        </w:tabs>
      </w:pPr>
    </w:p>
    <w:p w14:paraId="1A8AFEDE" w14:textId="3BDC09BB" w:rsidR="00767393" w:rsidRDefault="00767393" w:rsidP="002E558A">
      <w:pPr>
        <w:tabs>
          <w:tab w:val="left" w:pos="2238"/>
        </w:tabs>
      </w:pPr>
    </w:p>
    <w:p w14:paraId="036E0DEC" w14:textId="3018D90C" w:rsidR="00B976E7" w:rsidRDefault="00B976E7" w:rsidP="002E558A">
      <w:pPr>
        <w:tabs>
          <w:tab w:val="left" w:pos="2238"/>
        </w:tabs>
      </w:pPr>
    </w:p>
    <w:p w14:paraId="444B71AF" w14:textId="1D5515A0" w:rsidR="00B976E7" w:rsidRDefault="00B976E7" w:rsidP="002E558A">
      <w:pPr>
        <w:tabs>
          <w:tab w:val="left" w:pos="2238"/>
        </w:tabs>
      </w:pPr>
    </w:p>
    <w:p w14:paraId="642B66CD" w14:textId="77777777" w:rsidR="00B976E7" w:rsidRDefault="00B976E7" w:rsidP="002E558A">
      <w:pPr>
        <w:tabs>
          <w:tab w:val="left" w:pos="2238"/>
        </w:tabs>
      </w:pPr>
    </w:p>
    <w:p w14:paraId="31BD2716" w14:textId="5C44DC64" w:rsidR="005F03A1" w:rsidRDefault="005F03A1" w:rsidP="002E558A">
      <w:pPr>
        <w:tabs>
          <w:tab w:val="left" w:pos="2238"/>
        </w:tabs>
      </w:pPr>
    </w:p>
    <w:p w14:paraId="58C7D1AD" w14:textId="77777777" w:rsidR="005F03A1" w:rsidRDefault="005F03A1" w:rsidP="002E558A">
      <w:pPr>
        <w:tabs>
          <w:tab w:val="left" w:pos="2238"/>
        </w:tabs>
      </w:pPr>
    </w:p>
    <w:p w14:paraId="08A0D04C" w14:textId="1BB04CC8" w:rsidR="00150B97" w:rsidRDefault="00150B97" w:rsidP="002E558A">
      <w:pPr>
        <w:tabs>
          <w:tab w:val="left" w:pos="2238"/>
        </w:tabs>
      </w:pPr>
    </w:p>
    <w:p w14:paraId="557E52B2" w14:textId="6A375FC9" w:rsidR="00F633EC" w:rsidRDefault="00F633EC" w:rsidP="002E558A">
      <w:pPr>
        <w:tabs>
          <w:tab w:val="left" w:pos="2238"/>
        </w:tabs>
      </w:pPr>
    </w:p>
    <w:p w14:paraId="69629C27" w14:textId="070D60DC" w:rsidR="00F633EC" w:rsidRDefault="00F633EC" w:rsidP="002E558A">
      <w:pPr>
        <w:tabs>
          <w:tab w:val="left" w:pos="2238"/>
        </w:tabs>
      </w:pPr>
    </w:p>
    <w:p w14:paraId="27497F7C" w14:textId="49AC8E4A" w:rsidR="00F633EC" w:rsidRDefault="00F633EC" w:rsidP="002E558A">
      <w:pPr>
        <w:tabs>
          <w:tab w:val="left" w:pos="2238"/>
        </w:tabs>
      </w:pPr>
    </w:p>
    <w:p w14:paraId="7BDB8957" w14:textId="77777777" w:rsidR="00F633EC" w:rsidRDefault="00F633EC" w:rsidP="002E558A">
      <w:pPr>
        <w:tabs>
          <w:tab w:val="left" w:pos="2238"/>
        </w:tabs>
      </w:pPr>
    </w:p>
    <w:p w14:paraId="1C932FBD" w14:textId="77777777" w:rsidR="00A713F8" w:rsidRDefault="00A713F8" w:rsidP="002E558A">
      <w:pPr>
        <w:tabs>
          <w:tab w:val="left" w:pos="2238"/>
        </w:tabs>
      </w:pPr>
    </w:p>
    <w:p w14:paraId="34B82BE7" w14:textId="60DD9438" w:rsidR="00A85DE4" w:rsidRPr="00F07501" w:rsidRDefault="00E64433" w:rsidP="00047B30">
      <w:pPr>
        <w:pStyle w:val="Heading2"/>
        <w:numPr>
          <w:ilvl w:val="0"/>
          <w:numId w:val="15"/>
        </w:numPr>
        <w:spacing w:before="0" w:line="240" w:lineRule="auto"/>
        <w:ind w:left="357" w:hanging="357"/>
        <w:rPr>
          <w:rFonts w:asciiTheme="minorHAnsi" w:hAnsiTheme="minorHAnsi" w:cstheme="minorHAnsi"/>
          <w:color w:val="000000" w:themeColor="text1"/>
          <w:sz w:val="28"/>
          <w:szCs w:val="28"/>
        </w:rPr>
      </w:pPr>
      <w:bookmarkStart w:id="0" w:name="_Toc50385754"/>
      <w:bookmarkStart w:id="1" w:name="_Toc50385801"/>
      <w:bookmarkStart w:id="2" w:name="_Toc50385824"/>
      <w:bookmarkStart w:id="3" w:name="_Toc50385912"/>
      <w:bookmarkStart w:id="4" w:name="_Toc78401059"/>
      <w:bookmarkEnd w:id="0"/>
      <w:bookmarkEnd w:id="1"/>
      <w:bookmarkEnd w:id="2"/>
      <w:bookmarkEnd w:id="3"/>
      <w:r w:rsidRPr="00F07501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Purpose and Scope</w:t>
      </w:r>
      <w:bookmarkStart w:id="5" w:name="_Toc50385756"/>
      <w:bookmarkStart w:id="6" w:name="_Toc50385803"/>
      <w:bookmarkStart w:id="7" w:name="_Toc50385826"/>
      <w:bookmarkStart w:id="8" w:name="_Toc50385914"/>
      <w:bookmarkStart w:id="9" w:name="_Toc50385915"/>
      <w:bookmarkEnd w:id="4"/>
      <w:bookmarkEnd w:id="5"/>
      <w:bookmarkEnd w:id="6"/>
      <w:bookmarkEnd w:id="7"/>
      <w:bookmarkEnd w:id="8"/>
      <w:bookmarkEnd w:id="9"/>
    </w:p>
    <w:p w14:paraId="15E0B8D4" w14:textId="3147116B" w:rsidR="000C4967" w:rsidRDefault="00D42DDE">
      <w:pPr>
        <w:pStyle w:val="NoSpacing"/>
        <w:ind w:left="0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Free </w:t>
      </w:r>
      <w:r w:rsidR="00F651ED">
        <w:rPr>
          <w:rFonts w:asciiTheme="minorHAnsi" w:hAnsiTheme="minorHAnsi" w:cstheme="minorHAnsi"/>
          <w:sz w:val="22"/>
          <w:szCs w:val="24"/>
        </w:rPr>
        <w:t xml:space="preserve">Reserves are that part </w:t>
      </w:r>
      <w:r w:rsidR="00CD6830">
        <w:rPr>
          <w:rFonts w:asciiTheme="minorHAnsi" w:hAnsiTheme="minorHAnsi" w:cstheme="minorHAnsi"/>
          <w:sz w:val="22"/>
          <w:szCs w:val="24"/>
        </w:rPr>
        <w:t xml:space="preserve">of a </w:t>
      </w:r>
      <w:r w:rsidR="001A3475">
        <w:rPr>
          <w:rFonts w:asciiTheme="minorHAnsi" w:hAnsiTheme="minorHAnsi" w:cstheme="minorHAnsi"/>
          <w:sz w:val="22"/>
          <w:szCs w:val="24"/>
        </w:rPr>
        <w:t>c</w:t>
      </w:r>
      <w:r w:rsidR="009048A3">
        <w:rPr>
          <w:rFonts w:asciiTheme="minorHAnsi" w:hAnsiTheme="minorHAnsi" w:cstheme="minorHAnsi"/>
          <w:sz w:val="22"/>
          <w:szCs w:val="24"/>
        </w:rPr>
        <w:t>harity’</w:t>
      </w:r>
      <w:r w:rsidR="00CD6830">
        <w:rPr>
          <w:rFonts w:asciiTheme="minorHAnsi" w:hAnsiTheme="minorHAnsi" w:cstheme="minorHAnsi"/>
          <w:sz w:val="22"/>
          <w:szCs w:val="24"/>
        </w:rPr>
        <w:t xml:space="preserve">s unrestricted funds that is freely available to spend on any of </w:t>
      </w:r>
      <w:r w:rsidR="00E07DA2">
        <w:rPr>
          <w:rFonts w:asciiTheme="minorHAnsi" w:hAnsiTheme="minorHAnsi" w:cstheme="minorHAnsi"/>
          <w:sz w:val="22"/>
          <w:szCs w:val="24"/>
        </w:rPr>
        <w:t>its c</w:t>
      </w:r>
      <w:r w:rsidR="00CD6830">
        <w:rPr>
          <w:rFonts w:asciiTheme="minorHAnsi" w:hAnsiTheme="minorHAnsi" w:cstheme="minorHAnsi"/>
          <w:sz w:val="22"/>
          <w:szCs w:val="24"/>
        </w:rPr>
        <w:t>harit</w:t>
      </w:r>
      <w:r w:rsidR="00E07DA2">
        <w:rPr>
          <w:rFonts w:asciiTheme="minorHAnsi" w:hAnsiTheme="minorHAnsi" w:cstheme="minorHAnsi"/>
          <w:sz w:val="22"/>
          <w:szCs w:val="24"/>
        </w:rPr>
        <w:t>able</w:t>
      </w:r>
      <w:r w:rsidR="00CD6830">
        <w:rPr>
          <w:rFonts w:asciiTheme="minorHAnsi" w:hAnsiTheme="minorHAnsi" w:cstheme="minorHAnsi"/>
          <w:sz w:val="22"/>
          <w:szCs w:val="24"/>
        </w:rPr>
        <w:t xml:space="preserve"> purposes. </w:t>
      </w:r>
      <w:r w:rsidR="002770BE">
        <w:rPr>
          <w:rFonts w:asciiTheme="minorHAnsi" w:hAnsiTheme="minorHAnsi" w:cstheme="minorHAnsi"/>
          <w:sz w:val="22"/>
          <w:szCs w:val="24"/>
        </w:rPr>
        <w:t>However</w:t>
      </w:r>
      <w:r w:rsidR="00297118">
        <w:rPr>
          <w:rFonts w:asciiTheme="minorHAnsi" w:hAnsiTheme="minorHAnsi" w:cstheme="minorHAnsi"/>
          <w:sz w:val="22"/>
          <w:szCs w:val="24"/>
        </w:rPr>
        <w:t>,</w:t>
      </w:r>
      <w:r w:rsidR="002770BE">
        <w:rPr>
          <w:rFonts w:asciiTheme="minorHAnsi" w:hAnsiTheme="minorHAnsi" w:cstheme="minorHAnsi"/>
          <w:sz w:val="22"/>
          <w:szCs w:val="24"/>
        </w:rPr>
        <w:t xml:space="preserve"> some or all </w:t>
      </w:r>
      <w:r w:rsidR="002B6895">
        <w:rPr>
          <w:rFonts w:asciiTheme="minorHAnsi" w:hAnsiTheme="minorHAnsi" w:cstheme="minorHAnsi"/>
          <w:sz w:val="22"/>
          <w:szCs w:val="24"/>
        </w:rPr>
        <w:t>the unrestricted funds of a c</w:t>
      </w:r>
      <w:r w:rsidR="00A713F8">
        <w:rPr>
          <w:rFonts w:asciiTheme="minorHAnsi" w:hAnsiTheme="minorHAnsi" w:cstheme="minorHAnsi"/>
          <w:sz w:val="22"/>
          <w:szCs w:val="24"/>
        </w:rPr>
        <w:t xml:space="preserve">harity </w:t>
      </w:r>
      <w:r w:rsidR="002B6895">
        <w:rPr>
          <w:rFonts w:asciiTheme="minorHAnsi" w:hAnsiTheme="minorHAnsi" w:cstheme="minorHAnsi"/>
          <w:sz w:val="22"/>
          <w:szCs w:val="24"/>
        </w:rPr>
        <w:t>may not be readily ava</w:t>
      </w:r>
      <w:r w:rsidR="003E77E5">
        <w:rPr>
          <w:rFonts w:asciiTheme="minorHAnsi" w:hAnsiTheme="minorHAnsi" w:cstheme="minorHAnsi"/>
          <w:sz w:val="22"/>
          <w:szCs w:val="24"/>
        </w:rPr>
        <w:t xml:space="preserve">ilable for spending. </w:t>
      </w:r>
      <w:r w:rsidR="007E6CCC">
        <w:rPr>
          <w:rFonts w:asciiTheme="minorHAnsi" w:hAnsiTheme="minorHAnsi" w:cstheme="minorHAnsi"/>
          <w:sz w:val="22"/>
          <w:szCs w:val="24"/>
        </w:rPr>
        <w:t xml:space="preserve">This is because spending those funds </w:t>
      </w:r>
      <w:r w:rsidR="006835DD">
        <w:rPr>
          <w:rFonts w:asciiTheme="minorHAnsi" w:hAnsiTheme="minorHAnsi" w:cstheme="minorHAnsi"/>
          <w:sz w:val="22"/>
          <w:szCs w:val="24"/>
        </w:rPr>
        <w:t xml:space="preserve">may adversely impact on the charity’s </w:t>
      </w:r>
      <w:r w:rsidR="00A72859">
        <w:rPr>
          <w:rFonts w:asciiTheme="minorHAnsi" w:hAnsiTheme="minorHAnsi" w:cstheme="minorHAnsi"/>
          <w:sz w:val="22"/>
          <w:szCs w:val="24"/>
        </w:rPr>
        <w:t>ability to deliver its aims.</w:t>
      </w:r>
      <w:r w:rsidR="009048A3">
        <w:rPr>
          <w:rFonts w:asciiTheme="minorHAnsi" w:hAnsiTheme="minorHAnsi" w:cstheme="minorHAnsi"/>
          <w:sz w:val="22"/>
          <w:szCs w:val="24"/>
        </w:rPr>
        <w:t xml:space="preserve"> </w:t>
      </w:r>
      <w:r w:rsidR="008C0F8D">
        <w:rPr>
          <w:rFonts w:asciiTheme="minorHAnsi" w:hAnsiTheme="minorHAnsi" w:cstheme="minorHAnsi"/>
          <w:sz w:val="22"/>
          <w:szCs w:val="24"/>
        </w:rPr>
        <w:t xml:space="preserve">Trustees must be able </w:t>
      </w:r>
      <w:r w:rsidR="00FB0817">
        <w:rPr>
          <w:rFonts w:asciiTheme="minorHAnsi" w:hAnsiTheme="minorHAnsi" w:cstheme="minorHAnsi"/>
          <w:sz w:val="22"/>
          <w:szCs w:val="24"/>
        </w:rPr>
        <w:t>to justify t</w:t>
      </w:r>
      <w:r w:rsidR="00BF4AC4">
        <w:rPr>
          <w:rFonts w:asciiTheme="minorHAnsi" w:hAnsiTheme="minorHAnsi" w:cstheme="minorHAnsi"/>
          <w:sz w:val="22"/>
          <w:szCs w:val="24"/>
        </w:rPr>
        <w:t xml:space="preserve">he </w:t>
      </w:r>
      <w:r w:rsidR="000B62BD">
        <w:rPr>
          <w:rFonts w:asciiTheme="minorHAnsi" w:hAnsiTheme="minorHAnsi" w:cstheme="minorHAnsi"/>
          <w:sz w:val="22"/>
          <w:szCs w:val="24"/>
        </w:rPr>
        <w:t>level</w:t>
      </w:r>
      <w:r w:rsidR="00BF4AC4">
        <w:rPr>
          <w:rFonts w:asciiTheme="minorHAnsi" w:hAnsiTheme="minorHAnsi" w:cstheme="minorHAnsi"/>
          <w:sz w:val="22"/>
          <w:szCs w:val="24"/>
        </w:rPr>
        <w:t xml:space="preserve"> of reserves held </w:t>
      </w:r>
      <w:r w:rsidR="00FB0817">
        <w:rPr>
          <w:rFonts w:asciiTheme="minorHAnsi" w:hAnsiTheme="minorHAnsi" w:cstheme="minorHAnsi"/>
          <w:sz w:val="22"/>
          <w:szCs w:val="24"/>
        </w:rPr>
        <w:t>and explain how reserves are used to manage uncertainty</w:t>
      </w:r>
      <w:r w:rsidR="0095304A" w:rsidRPr="00047B30">
        <w:rPr>
          <w:rFonts w:asciiTheme="minorHAnsi" w:hAnsiTheme="minorHAnsi" w:cstheme="minorHAnsi"/>
          <w:sz w:val="22"/>
          <w:szCs w:val="24"/>
        </w:rPr>
        <w:t>.</w:t>
      </w:r>
      <w:r w:rsidR="00FB0817">
        <w:rPr>
          <w:rFonts w:asciiTheme="minorHAnsi" w:hAnsiTheme="minorHAnsi" w:cstheme="minorHAnsi"/>
          <w:sz w:val="22"/>
          <w:szCs w:val="24"/>
        </w:rPr>
        <w:t xml:space="preserve"> </w:t>
      </w:r>
      <w:r w:rsidR="00973CB6">
        <w:rPr>
          <w:rFonts w:asciiTheme="minorHAnsi" w:hAnsiTheme="minorHAnsi" w:cstheme="minorHAnsi"/>
          <w:sz w:val="22"/>
          <w:szCs w:val="24"/>
        </w:rPr>
        <w:t xml:space="preserve">They must also explain when reserves are to be spent and how </w:t>
      </w:r>
      <w:r w:rsidR="00801BF6">
        <w:rPr>
          <w:rFonts w:asciiTheme="minorHAnsi" w:hAnsiTheme="minorHAnsi" w:cstheme="minorHAnsi"/>
          <w:sz w:val="22"/>
          <w:szCs w:val="24"/>
        </w:rPr>
        <w:t>it will fund future activity.</w:t>
      </w:r>
    </w:p>
    <w:p w14:paraId="3B8E3900" w14:textId="77777777" w:rsidR="002D5DA0" w:rsidRPr="00047B30" w:rsidRDefault="002D5DA0" w:rsidP="00047B30">
      <w:pPr>
        <w:pStyle w:val="NoSpacing"/>
        <w:ind w:left="0"/>
        <w:jc w:val="both"/>
        <w:rPr>
          <w:rFonts w:asciiTheme="minorHAnsi" w:hAnsiTheme="minorHAnsi" w:cstheme="minorHAnsi"/>
          <w:sz w:val="22"/>
          <w:szCs w:val="24"/>
        </w:rPr>
      </w:pPr>
    </w:p>
    <w:p w14:paraId="199F45B8" w14:textId="628F47C9" w:rsidR="002D5DA0" w:rsidRDefault="00E909D3" w:rsidP="002D5DA0">
      <w:pPr>
        <w:pStyle w:val="NoSpacing"/>
        <w:ind w:left="0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The </w:t>
      </w:r>
      <w:r w:rsidR="001B6B39">
        <w:rPr>
          <w:rFonts w:asciiTheme="minorHAnsi" w:hAnsiTheme="minorHAnsi" w:cstheme="minorHAnsi"/>
          <w:sz w:val="22"/>
          <w:szCs w:val="24"/>
        </w:rPr>
        <w:t>purpose</w:t>
      </w:r>
      <w:r>
        <w:rPr>
          <w:rFonts w:asciiTheme="minorHAnsi" w:hAnsiTheme="minorHAnsi" w:cstheme="minorHAnsi"/>
          <w:sz w:val="22"/>
          <w:szCs w:val="24"/>
        </w:rPr>
        <w:t xml:space="preserve"> of this policy is to </w:t>
      </w:r>
      <w:r w:rsidR="00DE6FF9">
        <w:rPr>
          <w:rFonts w:asciiTheme="minorHAnsi" w:hAnsiTheme="minorHAnsi" w:cstheme="minorHAnsi"/>
          <w:sz w:val="22"/>
          <w:szCs w:val="24"/>
        </w:rPr>
        <w:t xml:space="preserve">give assurance to </w:t>
      </w:r>
      <w:r w:rsidR="00BA69D4">
        <w:rPr>
          <w:rFonts w:asciiTheme="minorHAnsi" w:hAnsiTheme="minorHAnsi" w:cstheme="minorHAnsi"/>
          <w:sz w:val="22"/>
          <w:szCs w:val="24"/>
        </w:rPr>
        <w:t xml:space="preserve">all stakeholders that the </w:t>
      </w:r>
      <w:r w:rsidR="007E1DE2">
        <w:rPr>
          <w:rFonts w:asciiTheme="minorHAnsi" w:hAnsiTheme="minorHAnsi" w:cstheme="minorHAnsi"/>
          <w:sz w:val="22"/>
          <w:szCs w:val="24"/>
        </w:rPr>
        <w:t>finances of the charity are acti</w:t>
      </w:r>
      <w:r w:rsidR="00561824">
        <w:rPr>
          <w:rFonts w:asciiTheme="minorHAnsi" w:hAnsiTheme="minorHAnsi" w:cstheme="minorHAnsi"/>
          <w:sz w:val="22"/>
          <w:szCs w:val="24"/>
        </w:rPr>
        <w:t>vely managed</w:t>
      </w:r>
      <w:r w:rsidR="007F5AE9">
        <w:rPr>
          <w:rFonts w:asciiTheme="minorHAnsi" w:hAnsiTheme="minorHAnsi" w:cstheme="minorHAnsi"/>
          <w:sz w:val="22"/>
          <w:szCs w:val="24"/>
        </w:rPr>
        <w:t>,</w:t>
      </w:r>
      <w:r w:rsidR="00561824">
        <w:rPr>
          <w:rFonts w:asciiTheme="minorHAnsi" w:hAnsiTheme="minorHAnsi" w:cstheme="minorHAnsi"/>
          <w:sz w:val="22"/>
          <w:szCs w:val="24"/>
        </w:rPr>
        <w:t xml:space="preserve"> and its activities are sustainable.</w:t>
      </w:r>
    </w:p>
    <w:p w14:paraId="219E3C27" w14:textId="02ED8B4A" w:rsidR="002D5DA0" w:rsidRDefault="002D5DA0" w:rsidP="002D5DA0">
      <w:pPr>
        <w:pStyle w:val="NoSpacing"/>
        <w:ind w:left="0"/>
        <w:jc w:val="both"/>
        <w:rPr>
          <w:rFonts w:asciiTheme="minorHAnsi" w:hAnsiTheme="minorHAnsi" w:cstheme="minorHAnsi"/>
          <w:sz w:val="22"/>
          <w:szCs w:val="24"/>
        </w:rPr>
      </w:pPr>
    </w:p>
    <w:p w14:paraId="6E0553B2" w14:textId="77777777" w:rsidR="002D5DA0" w:rsidRPr="00047B30" w:rsidRDefault="002D5DA0" w:rsidP="00047B30">
      <w:pPr>
        <w:pStyle w:val="NoSpacing"/>
        <w:ind w:left="0"/>
        <w:jc w:val="both"/>
        <w:rPr>
          <w:rFonts w:asciiTheme="minorHAnsi" w:hAnsiTheme="minorHAnsi" w:cstheme="minorHAnsi"/>
          <w:sz w:val="22"/>
          <w:szCs w:val="24"/>
        </w:rPr>
      </w:pPr>
    </w:p>
    <w:p w14:paraId="77267854" w14:textId="24E26596" w:rsidR="0095304A" w:rsidRPr="000778A8" w:rsidRDefault="0095304A" w:rsidP="00047B30">
      <w:pPr>
        <w:pStyle w:val="Heading2"/>
        <w:numPr>
          <w:ilvl w:val="0"/>
          <w:numId w:val="15"/>
        </w:numPr>
        <w:spacing w:line="240" w:lineRule="auto"/>
        <w:ind w:left="360" w:hanging="357"/>
        <w:rPr>
          <w:rFonts w:asciiTheme="minorHAnsi" w:hAnsiTheme="minorHAnsi" w:cstheme="minorHAnsi"/>
          <w:sz w:val="22"/>
          <w:szCs w:val="22"/>
        </w:rPr>
      </w:pPr>
      <w:bookmarkStart w:id="10" w:name="_Toc46992726"/>
      <w:bookmarkStart w:id="11" w:name="_Toc78401060"/>
      <w:r w:rsidRPr="00047B30">
        <w:rPr>
          <w:rFonts w:asciiTheme="minorHAnsi" w:hAnsiTheme="minorHAnsi" w:cstheme="minorHAnsi"/>
          <w:color w:val="auto"/>
          <w:sz w:val="28"/>
          <w:szCs w:val="28"/>
        </w:rPr>
        <w:t xml:space="preserve">Summary </w:t>
      </w:r>
      <w:bookmarkStart w:id="12" w:name="_Toc50385917"/>
      <w:bookmarkEnd w:id="10"/>
      <w:bookmarkEnd w:id="12"/>
      <w:r w:rsidR="005644E5">
        <w:rPr>
          <w:rFonts w:asciiTheme="minorHAnsi" w:hAnsiTheme="minorHAnsi" w:cstheme="minorHAnsi"/>
          <w:color w:val="auto"/>
          <w:sz w:val="28"/>
          <w:szCs w:val="28"/>
        </w:rPr>
        <w:t>of Financial Management</w:t>
      </w:r>
      <w:bookmarkEnd w:id="11"/>
    </w:p>
    <w:p w14:paraId="19E322A8" w14:textId="4ACABB87" w:rsidR="0095304A" w:rsidRPr="002570BD" w:rsidRDefault="00AE3519" w:rsidP="00E64433">
      <w:pPr>
        <w:pStyle w:val="ListParagraph"/>
        <w:spacing w:line="240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2570BD">
        <w:rPr>
          <w:rFonts w:asciiTheme="minorHAnsi" w:hAnsiTheme="minorHAnsi" w:cstheme="minorHAnsi"/>
          <w:b/>
          <w:bCs/>
          <w:sz w:val="22"/>
          <w:szCs w:val="22"/>
        </w:rPr>
        <w:t>Group Structure</w:t>
      </w:r>
    </w:p>
    <w:p w14:paraId="5E88FD36" w14:textId="44243B85" w:rsidR="00AE3519" w:rsidRDefault="00AE3519" w:rsidP="001E5892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CPL Group consists of Crescent Purchasing Limited trading as Crescent Purchasing Consortium</w:t>
      </w:r>
      <w:r w:rsidR="00011305">
        <w:rPr>
          <w:rFonts w:asciiTheme="minorHAnsi" w:hAnsiTheme="minorHAnsi" w:cstheme="minorHAnsi"/>
          <w:sz w:val="22"/>
          <w:szCs w:val="22"/>
        </w:rPr>
        <w:t xml:space="preserve">, a </w:t>
      </w:r>
      <w:r w:rsidR="002570BD">
        <w:rPr>
          <w:rFonts w:asciiTheme="minorHAnsi" w:hAnsiTheme="minorHAnsi" w:cstheme="minorHAnsi"/>
          <w:sz w:val="22"/>
          <w:szCs w:val="22"/>
        </w:rPr>
        <w:t xml:space="preserve">company limited by guarantee and a registered charity </w:t>
      </w:r>
      <w:r w:rsidR="00220E9A">
        <w:rPr>
          <w:rFonts w:asciiTheme="minorHAnsi" w:hAnsiTheme="minorHAnsi" w:cstheme="minorHAnsi"/>
          <w:sz w:val="22"/>
          <w:szCs w:val="22"/>
        </w:rPr>
        <w:t xml:space="preserve">(No. 1130461). </w:t>
      </w:r>
      <w:r w:rsidR="00D2795F">
        <w:rPr>
          <w:rFonts w:asciiTheme="minorHAnsi" w:hAnsiTheme="minorHAnsi" w:cstheme="minorHAnsi"/>
          <w:sz w:val="22"/>
          <w:szCs w:val="22"/>
        </w:rPr>
        <w:t>The charity has two wholly owned subsidiaries Tenet Education Services and Tenet Procurement Services w</w:t>
      </w:r>
      <w:r w:rsidR="001E5892">
        <w:rPr>
          <w:rFonts w:asciiTheme="minorHAnsi" w:hAnsiTheme="minorHAnsi" w:cstheme="minorHAnsi"/>
          <w:sz w:val="22"/>
          <w:szCs w:val="22"/>
        </w:rPr>
        <w:t>hich are not registered charities and who gift aid all surpluses back to the charity.</w:t>
      </w:r>
    </w:p>
    <w:p w14:paraId="3D0C2B3E" w14:textId="77777777" w:rsidR="001E5892" w:rsidRPr="00DC3290" w:rsidRDefault="001E5892" w:rsidP="002F54F4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04F7FB8" w14:textId="5C864706" w:rsidR="0095304A" w:rsidRPr="00DC3290" w:rsidRDefault="0045016B" w:rsidP="00047B30">
      <w:pPr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Budget setting</w:t>
      </w:r>
      <w:r w:rsidR="0095304A" w:rsidRPr="00DC329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</w:p>
    <w:p w14:paraId="3D08160D" w14:textId="3BB84AAC" w:rsidR="0095304A" w:rsidRDefault="007307FF" w:rsidP="00047B30">
      <w:pPr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 financial year end for </w:t>
      </w:r>
      <w:r w:rsidR="00163C87">
        <w:rPr>
          <w:rFonts w:asciiTheme="minorHAnsi" w:eastAsiaTheme="minorHAnsi" w:hAnsiTheme="minorHAnsi" w:cstheme="minorBidi"/>
          <w:sz w:val="22"/>
          <w:szCs w:val="22"/>
          <w:lang w:eastAsia="en-US"/>
        </w:rPr>
        <w:t>CPL Group is 31</w:t>
      </w:r>
      <w:r w:rsidR="00163C87" w:rsidRPr="00163C87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st</w:t>
      </w:r>
      <w:r w:rsidR="00163C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July.</w:t>
      </w:r>
    </w:p>
    <w:p w14:paraId="28156F12" w14:textId="54DB7A51" w:rsidR="00A92A70" w:rsidRDefault="00A92A70" w:rsidP="00047B30">
      <w:pPr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 Board of Trustees approve a 5-year budget each June </w:t>
      </w:r>
      <w:r w:rsidR="003277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for the Group </w:t>
      </w:r>
      <w:r w:rsidR="00AF62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incorporating the charity </w:t>
      </w:r>
      <w:r w:rsidR="0032771D">
        <w:rPr>
          <w:rFonts w:asciiTheme="minorHAnsi" w:eastAsiaTheme="minorHAnsi" w:hAnsiTheme="minorHAnsi" w:cstheme="minorBidi"/>
          <w:sz w:val="22"/>
          <w:szCs w:val="22"/>
          <w:lang w:eastAsia="en-US"/>
        </w:rPr>
        <w:t>and its subsidiaries.</w:t>
      </w:r>
      <w:r w:rsidR="004E5F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402C9576" w14:textId="096EAB95" w:rsidR="0032771D" w:rsidRDefault="0032771D" w:rsidP="00047B30">
      <w:pPr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5B93331" w14:textId="0C66761A" w:rsidR="0032771D" w:rsidRPr="001A727A" w:rsidRDefault="001A727A" w:rsidP="00047B30">
      <w:pPr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1A727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Financial Management</w:t>
      </w:r>
    </w:p>
    <w:p w14:paraId="51CD8861" w14:textId="5FF6BE0E" w:rsidR="001A727A" w:rsidRDefault="00C01255" w:rsidP="00047B30">
      <w:pPr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 </w:t>
      </w:r>
      <w:r w:rsidR="000B4FE6">
        <w:rPr>
          <w:rFonts w:asciiTheme="minorHAnsi" w:eastAsiaTheme="minorHAnsi" w:hAnsiTheme="minorHAnsi" w:cstheme="minorBidi"/>
          <w:sz w:val="22"/>
          <w:szCs w:val="22"/>
          <w:lang w:eastAsia="en-US"/>
        </w:rPr>
        <w:t>Finance tea</w:t>
      </w:r>
      <w:r w:rsidR="006A523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 </w:t>
      </w:r>
      <w:r w:rsidR="00FA0FA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continually </w:t>
      </w:r>
      <w:r w:rsidR="006A523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monitor income and expenditure against </w:t>
      </w:r>
      <w:r w:rsidR="000D2723">
        <w:rPr>
          <w:rFonts w:asciiTheme="minorHAnsi" w:eastAsiaTheme="minorHAnsi" w:hAnsiTheme="minorHAnsi" w:cstheme="minorBidi"/>
          <w:sz w:val="22"/>
          <w:szCs w:val="22"/>
          <w:lang w:eastAsia="en-US"/>
        </w:rPr>
        <w:t>budget and produce monthly mana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gement accounts </w:t>
      </w:r>
      <w:r w:rsidR="000D272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with detailed commentary </w:t>
      </w:r>
      <w:r w:rsidR="000E1C6F">
        <w:rPr>
          <w:rFonts w:asciiTheme="minorHAnsi" w:eastAsiaTheme="minorHAnsi" w:hAnsiTheme="minorHAnsi" w:cstheme="minorBidi"/>
          <w:sz w:val="22"/>
          <w:szCs w:val="22"/>
          <w:lang w:eastAsia="en-US"/>
        </w:rPr>
        <w:t>of performance for review by the Group Leadership Team (GLT). These are</w:t>
      </w:r>
      <w:r w:rsidR="00BE418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made available to the Trustees who meet three times a year for formal review</w:t>
      </w:r>
      <w:r w:rsidR="00DF6A3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0FFCD8DA" w14:textId="7217DA31" w:rsidR="00DF6A3B" w:rsidRDefault="00DF6A3B" w:rsidP="00047B30">
      <w:pPr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E9862B7" w14:textId="77777777" w:rsidR="002D5DA0" w:rsidRPr="00DC3290" w:rsidRDefault="002D5DA0" w:rsidP="00047B30">
      <w:pPr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7F1ABA5" w14:textId="21A6C80C" w:rsidR="0095304A" w:rsidRPr="00343FAA" w:rsidRDefault="005644E5" w:rsidP="00047B30">
      <w:pPr>
        <w:pStyle w:val="Heading2"/>
        <w:numPr>
          <w:ilvl w:val="0"/>
          <w:numId w:val="15"/>
        </w:numPr>
        <w:spacing w:before="0" w:line="240" w:lineRule="auto"/>
        <w:ind w:left="357" w:hanging="357"/>
        <w:rPr>
          <w:rFonts w:ascii="Calibri" w:hAnsi="Calibri" w:cs="Calibri"/>
          <w:color w:val="auto"/>
          <w:sz w:val="28"/>
          <w:szCs w:val="28"/>
        </w:rPr>
      </w:pPr>
      <w:bookmarkStart w:id="13" w:name="_Toc50385919"/>
      <w:bookmarkStart w:id="14" w:name="_Toc78401061"/>
      <w:bookmarkStart w:id="15" w:name="_Toc46992728"/>
      <w:bookmarkEnd w:id="13"/>
      <w:r w:rsidRPr="00343FAA">
        <w:rPr>
          <w:rFonts w:ascii="Calibri" w:hAnsi="Calibri" w:cs="Calibri"/>
          <w:color w:val="auto"/>
          <w:sz w:val="28"/>
          <w:szCs w:val="28"/>
        </w:rPr>
        <w:t>Risk and resilience</w:t>
      </w:r>
      <w:bookmarkEnd w:id="14"/>
    </w:p>
    <w:bookmarkEnd w:id="15"/>
    <w:p w14:paraId="5D527D21" w14:textId="3CB6F57F" w:rsidR="0095304A" w:rsidRPr="00047B30" w:rsidRDefault="00B61545" w:rsidP="00047B30">
      <w:pPr>
        <w:pStyle w:val="NoSpacing"/>
        <w:ind w:left="0"/>
        <w:rPr>
          <w:rFonts w:asciiTheme="minorHAnsi" w:hAnsiTheme="minorHAnsi" w:cstheme="minorHAnsi"/>
          <w:b/>
          <w:bCs/>
          <w:sz w:val="22"/>
          <w:szCs w:val="24"/>
        </w:rPr>
      </w:pPr>
      <w:r>
        <w:rPr>
          <w:rFonts w:asciiTheme="minorHAnsi" w:hAnsiTheme="minorHAnsi" w:cstheme="minorHAnsi"/>
          <w:b/>
          <w:bCs/>
          <w:sz w:val="22"/>
          <w:szCs w:val="24"/>
        </w:rPr>
        <w:t>Risk</w:t>
      </w:r>
    </w:p>
    <w:p w14:paraId="6FEDE48D" w14:textId="00120E9C" w:rsidR="005A6139" w:rsidRDefault="00435C44" w:rsidP="00047B30">
      <w:pPr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CPL</w:t>
      </w:r>
      <w:r w:rsidR="0095304A" w:rsidRPr="00DC329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Group </w:t>
      </w:r>
      <w:r w:rsidR="003574DD">
        <w:rPr>
          <w:rFonts w:asciiTheme="minorHAnsi" w:eastAsiaTheme="minorHAnsi" w:hAnsiTheme="minorHAnsi" w:cstheme="minorBidi"/>
          <w:sz w:val="22"/>
          <w:szCs w:val="22"/>
          <w:lang w:eastAsia="en-US"/>
        </w:rPr>
        <w:t>operates a detailed risk register which is regularly reviewed by the GLT</w:t>
      </w:r>
      <w:r w:rsidR="0095304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672E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031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Thresholds have been put into place </w:t>
      </w:r>
      <w:r w:rsidR="00A94D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should income levels drop which </w:t>
      </w:r>
      <w:r w:rsidR="004043B0">
        <w:rPr>
          <w:rFonts w:asciiTheme="minorHAnsi" w:eastAsiaTheme="minorHAnsi" w:hAnsiTheme="minorHAnsi" w:cstheme="minorBidi"/>
          <w:sz w:val="22"/>
          <w:szCs w:val="22"/>
          <w:lang w:eastAsia="en-US"/>
        </w:rPr>
        <w:t>will trigger appropriate responses to enable business continuity</w:t>
      </w:r>
      <w:r w:rsidR="005A613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21D39E68" w14:textId="77777777" w:rsidR="005A6139" w:rsidRDefault="005A6139" w:rsidP="00047B30">
      <w:pPr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C233726" w14:textId="79605526" w:rsidR="0095304A" w:rsidRPr="00DC3290" w:rsidRDefault="00B61545" w:rsidP="00047B30">
      <w:pPr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Resilience</w:t>
      </w:r>
    </w:p>
    <w:p w14:paraId="0ACD6A0B" w14:textId="2F5568C0" w:rsidR="00225A48" w:rsidRDefault="00C03081" w:rsidP="00BE3280">
      <w:pPr>
        <w:spacing w:after="0"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225A48">
        <w:rPr>
          <w:rFonts w:ascii="Calibri" w:hAnsi="Calibri" w:cs="Calibri"/>
          <w:sz w:val="22"/>
          <w:szCs w:val="22"/>
        </w:rPr>
        <w:t xml:space="preserve">CPL Group </w:t>
      </w:r>
      <w:r w:rsidR="008F14BA" w:rsidRPr="00225A48">
        <w:rPr>
          <w:rFonts w:ascii="Calibri" w:hAnsi="Calibri" w:cs="Calibri"/>
          <w:sz w:val="22"/>
          <w:szCs w:val="22"/>
        </w:rPr>
        <w:t xml:space="preserve">have </w:t>
      </w:r>
      <w:r w:rsidR="007F794D" w:rsidRPr="00225A48">
        <w:rPr>
          <w:rFonts w:ascii="Calibri" w:hAnsi="Calibri" w:cs="Calibri"/>
          <w:sz w:val="22"/>
          <w:szCs w:val="22"/>
        </w:rPr>
        <w:t>wholly owned assets consisting predominately of computer equipment.</w:t>
      </w:r>
      <w:r w:rsidR="00D5052A">
        <w:rPr>
          <w:rFonts w:ascii="Calibri" w:hAnsi="Calibri" w:cs="Calibri"/>
          <w:sz w:val="22"/>
          <w:szCs w:val="22"/>
        </w:rPr>
        <w:t xml:space="preserve"> </w:t>
      </w:r>
      <w:r w:rsidR="00225A48">
        <w:rPr>
          <w:rFonts w:ascii="Calibri" w:hAnsi="Calibri" w:cs="Calibri"/>
          <w:sz w:val="22"/>
          <w:szCs w:val="22"/>
        </w:rPr>
        <w:t>The Group</w:t>
      </w:r>
      <w:r w:rsidR="00D5052A">
        <w:rPr>
          <w:rFonts w:ascii="Calibri" w:hAnsi="Calibri" w:cs="Calibri"/>
          <w:sz w:val="22"/>
          <w:szCs w:val="22"/>
        </w:rPr>
        <w:t xml:space="preserve">’s main asset is its cash </w:t>
      </w:r>
      <w:r w:rsidR="00D02DF8">
        <w:rPr>
          <w:rFonts w:ascii="Calibri" w:hAnsi="Calibri" w:cs="Calibri"/>
          <w:sz w:val="22"/>
          <w:szCs w:val="22"/>
        </w:rPr>
        <w:t xml:space="preserve">with enough cash reserves </w:t>
      </w:r>
      <w:r w:rsidR="005849EC">
        <w:rPr>
          <w:rFonts w:ascii="Calibri" w:hAnsi="Calibri" w:cs="Calibri"/>
          <w:sz w:val="22"/>
          <w:szCs w:val="22"/>
        </w:rPr>
        <w:t>to fund almost one full year of budgeted expenditure</w:t>
      </w:r>
      <w:r w:rsidR="00BE3280">
        <w:rPr>
          <w:rFonts w:ascii="Calibri" w:hAnsi="Calibri" w:cs="Calibri"/>
          <w:sz w:val="22"/>
          <w:szCs w:val="22"/>
        </w:rPr>
        <w:t>.</w:t>
      </w:r>
    </w:p>
    <w:p w14:paraId="0258D557" w14:textId="24FD1DA2" w:rsidR="00A4453F" w:rsidRDefault="00A4453F" w:rsidP="00BE3280">
      <w:pPr>
        <w:spacing w:after="0" w:line="24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1D669E15" w14:textId="6C77298C" w:rsidR="00A4453F" w:rsidRPr="00225A48" w:rsidRDefault="00BE3280" w:rsidP="00BE3280">
      <w:pPr>
        <w:spacing w:after="0"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This resilience was tested during the Global pandemic and the national lockdown </w:t>
      </w:r>
      <w:r w:rsidR="0083080F">
        <w:rPr>
          <w:rFonts w:ascii="Calibri" w:hAnsi="Calibri" w:cs="Calibri"/>
          <w:sz w:val="22"/>
          <w:szCs w:val="22"/>
        </w:rPr>
        <w:t xml:space="preserve">of 2020 where the charity was able to </w:t>
      </w:r>
      <w:r w:rsidR="00652F86">
        <w:rPr>
          <w:rFonts w:ascii="Calibri" w:hAnsi="Calibri" w:cs="Calibri"/>
          <w:sz w:val="22"/>
          <w:szCs w:val="22"/>
        </w:rPr>
        <w:t xml:space="preserve">secure jobs and operate </w:t>
      </w:r>
      <w:r w:rsidR="00E4356A">
        <w:rPr>
          <w:rFonts w:ascii="Calibri" w:hAnsi="Calibri" w:cs="Calibri"/>
          <w:sz w:val="22"/>
          <w:szCs w:val="22"/>
        </w:rPr>
        <w:t>remotely despite a severe drop in income</w:t>
      </w:r>
      <w:r w:rsidR="000E1C21">
        <w:rPr>
          <w:rFonts w:ascii="Calibri" w:hAnsi="Calibri" w:cs="Calibri"/>
          <w:sz w:val="22"/>
          <w:szCs w:val="22"/>
        </w:rPr>
        <w:t xml:space="preserve">. </w:t>
      </w:r>
    </w:p>
    <w:p w14:paraId="030CEAE0" w14:textId="77777777" w:rsidR="0095304A" w:rsidRPr="00225A48" w:rsidRDefault="0095304A" w:rsidP="00047B30">
      <w:pPr>
        <w:spacing w:after="0" w:line="24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10C0B20B" w14:textId="4D129B81" w:rsidR="003F7355" w:rsidRPr="00B96E6D" w:rsidRDefault="00EA737C" w:rsidP="00047B30">
      <w:pPr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B96E6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Operati</w:t>
      </w:r>
      <w:r w:rsidR="00285E6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ng cashflow</w:t>
      </w:r>
    </w:p>
    <w:p w14:paraId="3B570B64" w14:textId="2ED18506" w:rsidR="0095304A" w:rsidRPr="00DC3290" w:rsidRDefault="000225D7" w:rsidP="00047B30">
      <w:pPr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CPL Group have no loan faciliti</w:t>
      </w:r>
      <w:r w:rsidR="00F76C6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es in place and no long-term creditors. Effective cash management ensures </w:t>
      </w:r>
      <w:r w:rsidR="00BA14A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manageable trade debtor balances with all trade and other creditors being paid </w:t>
      </w:r>
      <w:r w:rsidR="00935530">
        <w:rPr>
          <w:rFonts w:asciiTheme="minorHAnsi" w:eastAsiaTheme="minorHAnsi" w:hAnsiTheme="minorHAnsi" w:cstheme="minorHAnsi"/>
          <w:sz w:val="22"/>
          <w:szCs w:val="22"/>
          <w:lang w:eastAsia="en-US"/>
        </w:rPr>
        <w:t>within their terms.</w:t>
      </w:r>
    </w:p>
    <w:p w14:paraId="155CCC67" w14:textId="77777777" w:rsidR="0095304A" w:rsidRDefault="0095304A" w:rsidP="00047B30">
      <w:pPr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8564DEA" w14:textId="77777777" w:rsidR="0095304A" w:rsidRPr="000B5E4F" w:rsidRDefault="0095304A" w:rsidP="00047B30">
      <w:pPr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1F7B71D" w14:textId="77777777" w:rsidR="0095304A" w:rsidRPr="00DC3290" w:rsidRDefault="0095304A" w:rsidP="00047B30">
      <w:pPr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C329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738BAB6" w14:textId="4E7DCC2B" w:rsidR="0095304A" w:rsidRPr="00047B30" w:rsidRDefault="003F2F42" w:rsidP="00F07501">
      <w:pPr>
        <w:pStyle w:val="Heading2"/>
        <w:numPr>
          <w:ilvl w:val="0"/>
          <w:numId w:val="15"/>
        </w:numPr>
        <w:ind w:left="426" w:hanging="426"/>
        <w:rPr>
          <w:rFonts w:ascii="Calibri" w:hAnsi="Calibri" w:cs="Calibri"/>
          <w:color w:val="auto"/>
          <w:sz w:val="28"/>
          <w:szCs w:val="28"/>
        </w:rPr>
      </w:pPr>
      <w:bookmarkStart w:id="16" w:name="_Toc78401062"/>
      <w:r>
        <w:rPr>
          <w:rFonts w:ascii="Calibri" w:hAnsi="Calibri" w:cs="Calibri"/>
          <w:color w:val="auto"/>
          <w:sz w:val="28"/>
          <w:szCs w:val="28"/>
        </w:rPr>
        <w:lastRenderedPageBreak/>
        <w:t>Reserve levels</w:t>
      </w:r>
      <w:bookmarkEnd w:id="16"/>
    </w:p>
    <w:p w14:paraId="2F9EAEEC" w14:textId="77777777" w:rsidR="00611BC1" w:rsidRDefault="00611BC1" w:rsidP="00047B30">
      <w:pPr>
        <w:spacing w:after="0" w:line="240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0ED0DA9" w14:textId="3F60388E" w:rsidR="0095304A" w:rsidRDefault="00401760" w:rsidP="00155D05">
      <w:pPr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There is no legal or specific rule </w:t>
      </w:r>
      <w:r w:rsidR="00460503">
        <w:rPr>
          <w:rFonts w:asciiTheme="minorHAnsi" w:hAnsiTheme="minorHAnsi" w:cstheme="minorHAnsi"/>
          <w:b/>
          <w:bCs/>
          <w:sz w:val="22"/>
          <w:szCs w:val="22"/>
        </w:rPr>
        <w:t xml:space="preserve">which states the level of reserves that a charity can </w:t>
      </w:r>
      <w:r w:rsidR="00155D05">
        <w:rPr>
          <w:rFonts w:asciiTheme="minorHAnsi" w:hAnsiTheme="minorHAnsi" w:cstheme="minorHAnsi"/>
          <w:b/>
          <w:bCs/>
          <w:sz w:val="22"/>
          <w:szCs w:val="22"/>
        </w:rPr>
        <w:t>hold though the levels should be justified.</w:t>
      </w:r>
    </w:p>
    <w:p w14:paraId="69666651" w14:textId="77777777" w:rsidR="00155D05" w:rsidRPr="00DC3290" w:rsidRDefault="00155D05" w:rsidP="00155D05">
      <w:pPr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642D38" w14:textId="41276E74" w:rsidR="00DF550B" w:rsidRDefault="00DF0445" w:rsidP="00047B30">
      <w:pPr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DF550B">
        <w:rPr>
          <w:rFonts w:asciiTheme="minorHAnsi" w:hAnsiTheme="minorHAnsi" w:cstheme="minorHAnsi"/>
          <w:sz w:val="22"/>
          <w:szCs w:val="22"/>
        </w:rPr>
        <w:t xml:space="preserve">reserve levels held by CPL Group are </w:t>
      </w:r>
      <w:r w:rsidR="006C5DDB">
        <w:rPr>
          <w:rFonts w:asciiTheme="minorHAnsi" w:hAnsiTheme="minorHAnsi" w:cstheme="minorHAnsi"/>
          <w:sz w:val="22"/>
          <w:szCs w:val="22"/>
        </w:rPr>
        <w:t xml:space="preserve">calculated </w:t>
      </w:r>
      <w:r w:rsidR="00DF550B">
        <w:rPr>
          <w:rFonts w:asciiTheme="minorHAnsi" w:hAnsiTheme="minorHAnsi" w:cstheme="minorHAnsi"/>
          <w:sz w:val="22"/>
          <w:szCs w:val="22"/>
        </w:rPr>
        <w:t xml:space="preserve">after taking into </w:t>
      </w:r>
      <w:r w:rsidR="006C5DDB">
        <w:rPr>
          <w:rFonts w:asciiTheme="minorHAnsi" w:hAnsiTheme="minorHAnsi" w:cstheme="minorHAnsi"/>
          <w:sz w:val="22"/>
          <w:szCs w:val="22"/>
        </w:rPr>
        <w:t>consideration:</w:t>
      </w:r>
    </w:p>
    <w:p w14:paraId="20C5223F" w14:textId="177EE804" w:rsidR="00616C01" w:rsidRPr="00616C01" w:rsidRDefault="006571AF" w:rsidP="00616C0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operati</w:t>
      </w:r>
      <w:r w:rsidR="003C2A21">
        <w:rPr>
          <w:rFonts w:asciiTheme="minorHAnsi" w:hAnsiTheme="minorHAnsi" w:cstheme="minorHAnsi"/>
          <w:sz w:val="22"/>
          <w:szCs w:val="22"/>
        </w:rPr>
        <w:t>ng</w:t>
      </w:r>
      <w:r>
        <w:rPr>
          <w:rFonts w:asciiTheme="minorHAnsi" w:hAnsiTheme="minorHAnsi" w:cstheme="minorHAnsi"/>
          <w:sz w:val="22"/>
          <w:szCs w:val="22"/>
        </w:rPr>
        <w:t xml:space="preserve"> costs </w:t>
      </w:r>
      <w:r w:rsidR="00A07BC1">
        <w:rPr>
          <w:rFonts w:asciiTheme="minorHAnsi" w:hAnsiTheme="minorHAnsi" w:cstheme="minorHAnsi"/>
          <w:sz w:val="22"/>
          <w:szCs w:val="22"/>
        </w:rPr>
        <w:t xml:space="preserve">needed to continue trading for x months </w:t>
      </w:r>
    </w:p>
    <w:p w14:paraId="6BD2CE1F" w14:textId="5CCA4673" w:rsidR="00743744" w:rsidRDefault="00A14B6F" w:rsidP="00DF550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C702CC">
        <w:rPr>
          <w:rFonts w:asciiTheme="minorHAnsi" w:hAnsiTheme="minorHAnsi" w:cstheme="minorHAnsi"/>
          <w:sz w:val="22"/>
          <w:szCs w:val="22"/>
        </w:rPr>
        <w:t xml:space="preserve">angible fixed assets used to carry out </w:t>
      </w:r>
      <w:r w:rsidR="006C5DDB">
        <w:rPr>
          <w:rFonts w:asciiTheme="minorHAnsi" w:hAnsiTheme="minorHAnsi" w:cstheme="minorHAnsi"/>
          <w:sz w:val="22"/>
          <w:szCs w:val="22"/>
        </w:rPr>
        <w:t>t</w:t>
      </w:r>
      <w:r w:rsidR="00C702CC">
        <w:rPr>
          <w:rFonts w:asciiTheme="minorHAnsi" w:hAnsiTheme="minorHAnsi" w:cstheme="minorHAnsi"/>
          <w:sz w:val="22"/>
          <w:szCs w:val="22"/>
        </w:rPr>
        <w:t>he charity’s activities</w:t>
      </w:r>
    </w:p>
    <w:p w14:paraId="598DFD44" w14:textId="2C15AE6A" w:rsidR="00E55849" w:rsidRDefault="00A14B6F" w:rsidP="00DF550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743744">
        <w:rPr>
          <w:rFonts w:asciiTheme="minorHAnsi" w:hAnsiTheme="minorHAnsi" w:cstheme="minorHAnsi"/>
          <w:sz w:val="22"/>
          <w:szCs w:val="22"/>
        </w:rPr>
        <w:t xml:space="preserve">rogramme-related investments </w:t>
      </w:r>
      <w:r w:rsidR="00E55849">
        <w:rPr>
          <w:rFonts w:asciiTheme="minorHAnsi" w:hAnsiTheme="minorHAnsi" w:cstheme="minorHAnsi"/>
          <w:sz w:val="22"/>
          <w:szCs w:val="22"/>
        </w:rPr>
        <w:t>in the furtherance of the charity’s purposes</w:t>
      </w:r>
    </w:p>
    <w:p w14:paraId="67809504" w14:textId="24D7C115" w:rsidR="00A14B6F" w:rsidRDefault="00A14B6F" w:rsidP="00DF550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E55849">
        <w:rPr>
          <w:rFonts w:asciiTheme="minorHAnsi" w:hAnsiTheme="minorHAnsi" w:cstheme="minorHAnsi"/>
          <w:sz w:val="22"/>
          <w:szCs w:val="22"/>
        </w:rPr>
        <w:t>esignated funds</w:t>
      </w:r>
      <w:r>
        <w:rPr>
          <w:rFonts w:asciiTheme="minorHAnsi" w:hAnsiTheme="minorHAnsi" w:cstheme="minorHAnsi"/>
          <w:sz w:val="22"/>
          <w:szCs w:val="22"/>
        </w:rPr>
        <w:t xml:space="preserve"> set aside to meet essential future spending</w:t>
      </w:r>
    </w:p>
    <w:p w14:paraId="2131CC76" w14:textId="3B9F3D3F" w:rsidR="0095304A" w:rsidRPr="00A34B51" w:rsidRDefault="00A14B6F" w:rsidP="00A34B5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other </w:t>
      </w:r>
      <w:r w:rsidR="00A34B51">
        <w:rPr>
          <w:rFonts w:asciiTheme="minorHAnsi" w:hAnsiTheme="minorHAnsi" w:cstheme="minorHAnsi"/>
          <w:sz w:val="22"/>
          <w:szCs w:val="22"/>
        </w:rPr>
        <w:t>commitments that have not been provided for as a liability in the accounts</w:t>
      </w:r>
    </w:p>
    <w:p w14:paraId="0E7D89F6" w14:textId="77777777" w:rsidR="0095304A" w:rsidRPr="00DC3290" w:rsidRDefault="0095304A" w:rsidP="00047B30">
      <w:pPr>
        <w:spacing w:after="0" w:line="240" w:lineRule="auto"/>
        <w:ind w:left="141"/>
        <w:jc w:val="both"/>
        <w:rPr>
          <w:rFonts w:asciiTheme="minorHAnsi" w:hAnsiTheme="minorHAnsi" w:cstheme="minorHAnsi"/>
          <w:sz w:val="22"/>
          <w:szCs w:val="22"/>
        </w:rPr>
      </w:pPr>
    </w:p>
    <w:p w14:paraId="01225F1A" w14:textId="65A70A90" w:rsidR="0095304A" w:rsidRDefault="00E246AF" w:rsidP="00047B30">
      <w:pPr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Appendix A details the calculation of the held reserves </w:t>
      </w:r>
      <w:r w:rsidR="00E554B0">
        <w:rPr>
          <w:rFonts w:asciiTheme="minorHAnsi" w:hAnsiTheme="minorHAnsi" w:cstheme="minorHAnsi"/>
          <w:sz w:val="22"/>
          <w:szCs w:val="22"/>
        </w:rPr>
        <w:t>in line with the 2021/22 5-year budget plan</w:t>
      </w:r>
      <w:r w:rsidR="0095304A" w:rsidRPr="00DC3290">
        <w:rPr>
          <w:rFonts w:asciiTheme="minorHAnsi" w:hAnsiTheme="minorHAnsi" w:cstheme="minorHAnsi"/>
          <w:sz w:val="22"/>
          <w:szCs w:val="22"/>
        </w:rPr>
        <w:t>.</w:t>
      </w:r>
    </w:p>
    <w:p w14:paraId="1EA7112C" w14:textId="77777777" w:rsidR="0095304A" w:rsidRPr="00DC3290" w:rsidRDefault="0095304A" w:rsidP="00047B30">
      <w:pPr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A4A80F8" w14:textId="5A1149A5" w:rsidR="0095304A" w:rsidRPr="00DC3290" w:rsidRDefault="005B29E3" w:rsidP="00047B30">
      <w:pPr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Change from previous years</w:t>
      </w:r>
    </w:p>
    <w:p w14:paraId="5D56E9EC" w14:textId="46CA6B40" w:rsidR="00BA687B" w:rsidRDefault="00E07750" w:rsidP="00047B30">
      <w:pPr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CPL Group have previously maintained a policy of </w:t>
      </w:r>
      <w:r w:rsidR="003C2A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holding a minimum </w:t>
      </w:r>
      <w:r w:rsidR="00280B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reserve balance </w:t>
      </w:r>
      <w:r w:rsidR="003F6AB1">
        <w:rPr>
          <w:rFonts w:asciiTheme="minorHAnsi" w:eastAsiaTheme="minorHAnsi" w:hAnsiTheme="minorHAnsi" w:cstheme="minorBidi"/>
          <w:sz w:val="22"/>
          <w:szCs w:val="22"/>
          <w:lang w:eastAsia="en-US"/>
        </w:rPr>
        <w:t>t</w:t>
      </w:r>
      <w:r w:rsidR="003A100F"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 w:rsidR="003F6A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cover</w:t>
      </w:r>
      <w:r w:rsidR="00BA68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C2A21">
        <w:rPr>
          <w:rFonts w:asciiTheme="minorHAnsi" w:eastAsiaTheme="minorHAnsi" w:hAnsiTheme="minorHAnsi" w:cstheme="minorBidi"/>
          <w:sz w:val="22"/>
          <w:szCs w:val="22"/>
          <w:lang w:eastAsia="en-US"/>
        </w:rPr>
        <w:t>six months operating costs</w:t>
      </w:r>
      <w:r w:rsidR="00BA68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71967C98" w14:textId="77777777" w:rsidR="00BA687B" w:rsidRDefault="00BA687B" w:rsidP="00047B30">
      <w:pPr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A29AC29" w14:textId="10B80752" w:rsidR="00670976" w:rsidRPr="00670976" w:rsidRDefault="00670976" w:rsidP="00670976">
      <w:pPr>
        <w:overflowPunct/>
        <w:autoSpaceDE/>
        <w:autoSpaceDN/>
        <w:adjustRightInd/>
        <w:spacing w:after="200" w:line="276" w:lineRule="auto"/>
        <w:ind w:left="0"/>
        <w:jc w:val="both"/>
        <w:textAlignment w:val="auto"/>
        <w:rPr>
          <w:rFonts w:asciiTheme="minorHAnsi" w:eastAsia="SimSun" w:hAnsiTheme="minorHAnsi" w:cstheme="minorHAnsi"/>
          <w:sz w:val="22"/>
          <w:szCs w:val="22"/>
        </w:rPr>
      </w:pPr>
      <w:r w:rsidRPr="00670976">
        <w:rPr>
          <w:rFonts w:asciiTheme="minorHAnsi" w:eastAsia="SimSun" w:hAnsiTheme="minorHAnsi" w:cstheme="minorHAnsi"/>
          <w:sz w:val="22"/>
          <w:szCs w:val="22"/>
        </w:rPr>
        <w:t xml:space="preserve">The recent lockdowns caused by the global pandemic and the significant loss of income as a result have raised the question of whether </w:t>
      </w:r>
      <w:r w:rsidR="00B31EA9">
        <w:rPr>
          <w:rFonts w:asciiTheme="minorHAnsi" w:eastAsia="SimSun" w:hAnsiTheme="minorHAnsi" w:cstheme="minorHAnsi"/>
          <w:sz w:val="22"/>
          <w:szCs w:val="22"/>
        </w:rPr>
        <w:t xml:space="preserve">six </w:t>
      </w:r>
      <w:r w:rsidRPr="00670976">
        <w:rPr>
          <w:rFonts w:asciiTheme="minorHAnsi" w:eastAsia="SimSun" w:hAnsiTheme="minorHAnsi" w:cstheme="minorHAnsi"/>
          <w:sz w:val="22"/>
          <w:szCs w:val="22"/>
        </w:rPr>
        <w:t>months cover is enough</w:t>
      </w:r>
      <w:r w:rsidR="00E17313">
        <w:rPr>
          <w:rFonts w:asciiTheme="minorHAnsi" w:eastAsia="SimSun" w:hAnsiTheme="minorHAnsi" w:cstheme="minorHAnsi"/>
          <w:sz w:val="22"/>
          <w:szCs w:val="22"/>
        </w:rPr>
        <w:t xml:space="preserve">. </w:t>
      </w:r>
      <w:r w:rsidR="00B31EA9">
        <w:rPr>
          <w:rFonts w:asciiTheme="minorHAnsi" w:eastAsia="SimSun" w:hAnsiTheme="minorHAnsi" w:cstheme="minorHAnsi"/>
          <w:sz w:val="22"/>
          <w:szCs w:val="22"/>
        </w:rPr>
        <w:t xml:space="preserve">The Board of Trustees have therefore </w:t>
      </w:r>
      <w:r w:rsidR="00156606">
        <w:rPr>
          <w:rFonts w:asciiTheme="minorHAnsi" w:eastAsia="SimSun" w:hAnsiTheme="minorHAnsi" w:cstheme="minorHAnsi"/>
          <w:sz w:val="22"/>
          <w:szCs w:val="22"/>
        </w:rPr>
        <w:t>approved the increase</w:t>
      </w:r>
      <w:r w:rsidR="00E17313">
        <w:rPr>
          <w:rFonts w:asciiTheme="minorHAnsi" w:eastAsia="SimSun" w:hAnsiTheme="minorHAnsi" w:cstheme="minorHAnsi"/>
          <w:sz w:val="22"/>
          <w:szCs w:val="22"/>
        </w:rPr>
        <w:t xml:space="preserve"> of this cover</w:t>
      </w:r>
      <w:r w:rsidR="00156606">
        <w:rPr>
          <w:rFonts w:asciiTheme="minorHAnsi" w:eastAsia="SimSun" w:hAnsiTheme="minorHAnsi" w:cstheme="minorHAnsi"/>
          <w:sz w:val="22"/>
          <w:szCs w:val="22"/>
        </w:rPr>
        <w:t xml:space="preserve"> </w:t>
      </w:r>
      <w:r w:rsidR="003F6AB1">
        <w:rPr>
          <w:rFonts w:asciiTheme="minorHAnsi" w:eastAsia="SimSun" w:hAnsiTheme="minorHAnsi" w:cstheme="minorHAnsi"/>
          <w:sz w:val="22"/>
          <w:szCs w:val="22"/>
        </w:rPr>
        <w:t>to one year</w:t>
      </w:r>
      <w:r w:rsidRPr="00670976">
        <w:rPr>
          <w:rFonts w:asciiTheme="minorHAnsi" w:eastAsia="SimSun" w:hAnsiTheme="minorHAnsi" w:cstheme="minorHAnsi"/>
          <w:sz w:val="22"/>
          <w:szCs w:val="22"/>
        </w:rPr>
        <w:t>.</w:t>
      </w:r>
      <w:r w:rsidR="003F6AB1">
        <w:rPr>
          <w:rFonts w:asciiTheme="minorHAnsi" w:eastAsia="SimSun" w:hAnsiTheme="minorHAnsi" w:cstheme="minorHAnsi"/>
          <w:sz w:val="22"/>
          <w:szCs w:val="22"/>
        </w:rPr>
        <w:t xml:space="preserve"> This will be phased so that cover for 2021/22 will be nine months increasing to twelve months cover the following year.</w:t>
      </w:r>
    </w:p>
    <w:p w14:paraId="1BBE66BB" w14:textId="167AAC5F" w:rsidR="00670976" w:rsidRDefault="00670976" w:rsidP="00670976">
      <w:pPr>
        <w:overflowPunct/>
        <w:autoSpaceDE/>
        <w:autoSpaceDN/>
        <w:adjustRightInd/>
        <w:spacing w:after="200" w:line="276" w:lineRule="auto"/>
        <w:ind w:left="0"/>
        <w:jc w:val="both"/>
        <w:textAlignment w:val="auto"/>
        <w:rPr>
          <w:rFonts w:asciiTheme="minorHAnsi" w:eastAsia="SimSun" w:hAnsiTheme="minorHAnsi" w:cstheme="minorHAnsi"/>
          <w:sz w:val="22"/>
          <w:szCs w:val="22"/>
        </w:rPr>
      </w:pPr>
      <w:r w:rsidRPr="00670976">
        <w:rPr>
          <w:rFonts w:asciiTheme="minorHAnsi" w:eastAsia="SimSun" w:hAnsiTheme="minorHAnsi" w:cstheme="minorHAnsi"/>
          <w:sz w:val="22"/>
          <w:szCs w:val="22"/>
        </w:rPr>
        <w:t>This will not only allow the Group to retain as many jobs as possible during any similar crisis but also provide a sound base for the subsequent recovery.</w:t>
      </w:r>
    </w:p>
    <w:p w14:paraId="0176C6E0" w14:textId="77777777" w:rsidR="0095304A" w:rsidRPr="00DC3290" w:rsidRDefault="0095304A" w:rsidP="00047B30">
      <w:pPr>
        <w:spacing w:after="0" w:line="240" w:lineRule="auto"/>
        <w:ind w:left="141"/>
      </w:pPr>
    </w:p>
    <w:p w14:paraId="66CEE609" w14:textId="69420AF0" w:rsidR="0095304A" w:rsidRPr="00857B93" w:rsidRDefault="00857B93" w:rsidP="00F07501">
      <w:pPr>
        <w:pStyle w:val="Heading2"/>
        <w:numPr>
          <w:ilvl w:val="0"/>
          <w:numId w:val="15"/>
        </w:numPr>
        <w:ind w:left="284" w:hanging="284"/>
        <w:rPr>
          <w:rFonts w:ascii="Calibri" w:hAnsi="Calibri" w:cs="Calibri"/>
          <w:color w:val="auto"/>
          <w:sz w:val="28"/>
          <w:szCs w:val="28"/>
        </w:rPr>
      </w:pPr>
      <w:bookmarkStart w:id="17" w:name="_Toc50385922"/>
      <w:bookmarkStart w:id="18" w:name="_Toc78401063"/>
      <w:bookmarkEnd w:id="17"/>
      <w:r w:rsidRPr="00857B93">
        <w:rPr>
          <w:rFonts w:ascii="Calibri" w:hAnsi="Calibri" w:cs="Calibri"/>
          <w:color w:val="auto"/>
          <w:sz w:val="28"/>
          <w:szCs w:val="28"/>
        </w:rPr>
        <w:t>Investment of reserves</w:t>
      </w:r>
      <w:bookmarkEnd w:id="18"/>
    </w:p>
    <w:p w14:paraId="7BBE1365" w14:textId="0D41E4E9" w:rsidR="0095304A" w:rsidRDefault="00396E25" w:rsidP="00047B30">
      <w:pPr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CPL Group h</w:t>
      </w:r>
      <w:r w:rsidR="00A268A8">
        <w:rPr>
          <w:rFonts w:asciiTheme="minorHAnsi" w:eastAsiaTheme="minorHAnsi" w:hAnsiTheme="minorHAnsi" w:cstheme="minorBidi"/>
          <w:sz w:val="22"/>
          <w:szCs w:val="22"/>
          <w:lang w:eastAsia="en-US"/>
        </w:rPr>
        <w:t>as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high </w:t>
      </w:r>
      <w:r w:rsidR="00A268A8">
        <w:rPr>
          <w:rFonts w:asciiTheme="minorHAnsi" w:eastAsiaTheme="minorHAnsi" w:hAnsiTheme="minorHAnsi" w:cstheme="minorBidi"/>
          <w:sz w:val="22"/>
          <w:szCs w:val="22"/>
          <w:lang w:eastAsia="en-US"/>
        </w:rPr>
        <w:t>levels of cash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75AC1">
        <w:rPr>
          <w:rFonts w:asciiTheme="minorHAnsi" w:eastAsiaTheme="minorHAnsi" w:hAnsiTheme="minorHAnsi" w:cstheme="minorBidi"/>
          <w:sz w:val="22"/>
          <w:szCs w:val="22"/>
          <w:lang w:eastAsia="en-US"/>
        </w:rPr>
        <w:t>which</w:t>
      </w:r>
      <w:r w:rsidR="005D707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invest</w:t>
      </w:r>
      <w:r w:rsidR="00CD1BB6">
        <w:rPr>
          <w:rFonts w:asciiTheme="minorHAnsi" w:eastAsiaTheme="minorHAnsi" w:hAnsiTheme="minorHAnsi" w:cstheme="minorBidi"/>
          <w:sz w:val="22"/>
          <w:szCs w:val="22"/>
          <w:lang w:eastAsia="en-US"/>
        </w:rPr>
        <w:t>ed in line with the Treasury Management policy to maximise additional funds</w:t>
      </w:r>
      <w:r w:rsidR="0095304A" w:rsidRPr="00DC329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33F76EC0" w14:textId="366086C1" w:rsidR="006C1EBE" w:rsidRDefault="006C1EBE" w:rsidP="00047B30">
      <w:pPr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AEA068D" w14:textId="5F73DB2C" w:rsidR="009A6942" w:rsidRDefault="009A6942" w:rsidP="001D0741">
      <w:pPr>
        <w:overflowPunct/>
        <w:autoSpaceDE/>
        <w:autoSpaceDN/>
        <w:adjustRightInd/>
        <w:spacing w:after="200" w:line="276" w:lineRule="auto"/>
        <w:ind w:left="0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 current 5-year budget </w:t>
      </w:r>
      <w:r w:rsidR="00415073">
        <w:rPr>
          <w:rFonts w:asciiTheme="minorHAnsi" w:eastAsiaTheme="minorHAnsi" w:hAnsiTheme="minorHAnsi" w:cstheme="minorBidi"/>
          <w:sz w:val="22"/>
          <w:szCs w:val="22"/>
          <w:lang w:eastAsia="en-US"/>
        </w:rPr>
        <w:t>details investment in the steady</w:t>
      </w:r>
      <w:r w:rsidR="007436DD">
        <w:rPr>
          <w:rFonts w:asciiTheme="minorHAnsi" w:eastAsiaTheme="minorHAnsi" w:hAnsiTheme="minorHAnsi" w:cstheme="minorBidi"/>
          <w:sz w:val="22"/>
          <w:szCs w:val="22"/>
          <w:lang w:eastAsia="en-US"/>
        </w:rPr>
        <w:t>, organic</w:t>
      </w:r>
      <w:r w:rsidR="004150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growth of the business over the period</w:t>
      </w:r>
      <w:r w:rsidR="007436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There </w:t>
      </w:r>
      <w:r w:rsidR="00E732BD">
        <w:rPr>
          <w:rFonts w:asciiTheme="minorHAnsi" w:eastAsiaTheme="minorHAnsi" w:hAnsiTheme="minorHAnsi" w:cstheme="minorBidi"/>
          <w:sz w:val="22"/>
          <w:szCs w:val="22"/>
          <w:lang w:eastAsia="en-US"/>
        </w:rPr>
        <w:t>are</w:t>
      </w:r>
      <w:r w:rsidR="007436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currently no plans for acquisition or merger.</w:t>
      </w:r>
    </w:p>
    <w:p w14:paraId="45FAF1C4" w14:textId="53B09753" w:rsidR="0095304A" w:rsidRDefault="001D0741" w:rsidP="001D0741">
      <w:pPr>
        <w:overflowPunct/>
        <w:autoSpaceDE/>
        <w:autoSpaceDN/>
        <w:adjustRightInd/>
        <w:spacing w:after="200" w:line="276" w:lineRule="auto"/>
        <w:ind w:left="0"/>
        <w:jc w:val="both"/>
        <w:textAlignment w:val="auto"/>
        <w:rPr>
          <w:rFonts w:asciiTheme="minorHAnsi" w:eastAsia="SimSun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r w:rsidR="004B2EF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Free Reserves Sub-Committee chaired by the Group Finance Manager is responsible for</w:t>
      </w:r>
      <w:r w:rsidR="004B2EFF">
        <w:rPr>
          <w:rFonts w:asciiTheme="minorHAnsi" w:eastAsia="SimSun" w:hAnsiTheme="minorHAnsi" w:cstheme="minorHAnsi"/>
          <w:sz w:val="22"/>
          <w:szCs w:val="22"/>
        </w:rPr>
        <w:t xml:space="preserve"> managing the reinvestment of all excess </w:t>
      </w:r>
      <w:r>
        <w:rPr>
          <w:rFonts w:asciiTheme="minorHAnsi" w:eastAsia="SimSun" w:hAnsiTheme="minorHAnsi" w:cstheme="minorHAnsi"/>
          <w:sz w:val="22"/>
          <w:szCs w:val="22"/>
        </w:rPr>
        <w:t xml:space="preserve">reserves </w:t>
      </w:r>
      <w:r w:rsidR="004B2EFF">
        <w:rPr>
          <w:rFonts w:asciiTheme="minorHAnsi" w:eastAsia="SimSun" w:hAnsiTheme="minorHAnsi" w:cstheme="minorHAnsi"/>
          <w:sz w:val="22"/>
          <w:szCs w:val="22"/>
        </w:rPr>
        <w:t>back into the sector through grant funding or the provision of additional free or subsidised services.</w:t>
      </w:r>
    </w:p>
    <w:p w14:paraId="38AA2A9D" w14:textId="7AAC1487" w:rsidR="00C11369" w:rsidRPr="001D0741" w:rsidRDefault="00C11369" w:rsidP="001D0741">
      <w:pPr>
        <w:overflowPunct/>
        <w:autoSpaceDE/>
        <w:autoSpaceDN/>
        <w:adjustRightInd/>
        <w:spacing w:after="200" w:line="276" w:lineRule="auto"/>
        <w:ind w:left="0"/>
        <w:jc w:val="both"/>
        <w:textAlignment w:val="auto"/>
        <w:rPr>
          <w:rFonts w:asciiTheme="minorHAnsi" w:eastAsia="SimSun" w:hAnsiTheme="minorHAnsi" w:cstheme="minorHAnsi"/>
          <w:sz w:val="22"/>
          <w:szCs w:val="22"/>
        </w:rPr>
      </w:pPr>
      <w:r>
        <w:rPr>
          <w:rFonts w:asciiTheme="minorHAnsi" w:eastAsia="SimSun" w:hAnsiTheme="minorHAnsi" w:cstheme="minorHAnsi"/>
          <w:sz w:val="22"/>
          <w:szCs w:val="22"/>
        </w:rPr>
        <w:t xml:space="preserve">The current designated reserves relate to prior year excess reserves set aside </w:t>
      </w:r>
      <w:r w:rsidR="00894BEF">
        <w:rPr>
          <w:rFonts w:asciiTheme="minorHAnsi" w:eastAsia="SimSun" w:hAnsiTheme="minorHAnsi" w:cstheme="minorHAnsi"/>
          <w:sz w:val="22"/>
          <w:szCs w:val="22"/>
        </w:rPr>
        <w:t>for additional charitable activities as stated in the financial statements.</w:t>
      </w:r>
    </w:p>
    <w:p w14:paraId="7F382132" w14:textId="77777777" w:rsidR="002D5DA0" w:rsidRPr="00DC3290" w:rsidRDefault="002D5DA0" w:rsidP="00047B30">
      <w:pPr>
        <w:spacing w:after="0" w:line="240" w:lineRule="auto"/>
        <w:ind w:left="141"/>
      </w:pPr>
    </w:p>
    <w:p w14:paraId="5D142EF3" w14:textId="799F2AC6" w:rsidR="002D5DA0" w:rsidRPr="003E6A40" w:rsidRDefault="003E6A40" w:rsidP="00047B30">
      <w:pPr>
        <w:pStyle w:val="Heading2"/>
        <w:numPr>
          <w:ilvl w:val="0"/>
          <w:numId w:val="15"/>
        </w:numPr>
        <w:ind w:left="357" w:hanging="357"/>
        <w:rPr>
          <w:rFonts w:ascii="Calibri" w:hAnsi="Calibri" w:cs="Calibri"/>
          <w:color w:val="auto"/>
          <w:sz w:val="28"/>
          <w:szCs w:val="28"/>
        </w:rPr>
      </w:pPr>
      <w:bookmarkStart w:id="19" w:name="_Toc50385924"/>
      <w:bookmarkStart w:id="20" w:name="_Toc78401064"/>
      <w:bookmarkEnd w:id="19"/>
      <w:r w:rsidRPr="003E6A40">
        <w:rPr>
          <w:rFonts w:ascii="Calibri" w:hAnsi="Calibri" w:cs="Calibri"/>
          <w:color w:val="auto"/>
          <w:sz w:val="28"/>
          <w:szCs w:val="28"/>
        </w:rPr>
        <w:t>Reporting and communication of policy</w:t>
      </w:r>
      <w:bookmarkEnd w:id="20"/>
    </w:p>
    <w:p w14:paraId="189E3D00" w14:textId="77777777" w:rsidR="0049014F" w:rsidRDefault="008F0934" w:rsidP="00047B30">
      <w:pPr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Reserve levels will be reported as part of the monthly management accounts</w:t>
      </w:r>
      <w:r w:rsidR="0049014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0021319F" w14:textId="77777777" w:rsidR="0049014F" w:rsidRDefault="0049014F" w:rsidP="00047B30">
      <w:pPr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16640A4" w14:textId="77777777" w:rsidR="00CA3C8B" w:rsidRDefault="0049014F" w:rsidP="00047B30">
      <w:pPr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 accordance with the </w:t>
      </w:r>
      <w:r w:rsidR="001D1E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Charities SORP a statement of </w:t>
      </w:r>
      <w:r w:rsidR="00D12B75">
        <w:rPr>
          <w:rFonts w:asciiTheme="minorHAnsi" w:eastAsiaTheme="minorHAnsi" w:hAnsiTheme="minorHAnsi" w:cstheme="minorBidi"/>
          <w:sz w:val="22"/>
          <w:szCs w:val="22"/>
          <w:lang w:eastAsia="en-US"/>
        </w:rPr>
        <w:t>the reserves policy will be included in the Annual Report</w:t>
      </w:r>
      <w:r w:rsidR="00C72C3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1C773307" w14:textId="77777777" w:rsidR="00CA3C8B" w:rsidRDefault="00CA3C8B" w:rsidP="00047B30">
      <w:pPr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F69E6F1" w14:textId="6AAD1A92" w:rsidR="002D5DA0" w:rsidRDefault="00CA3C8B" w:rsidP="00043082">
      <w:pPr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This policy will also be made available on the </w:t>
      </w:r>
      <w:r w:rsidR="00043082">
        <w:rPr>
          <w:rFonts w:asciiTheme="minorHAnsi" w:eastAsiaTheme="minorHAnsi" w:hAnsiTheme="minorHAnsi" w:cstheme="minorBidi"/>
          <w:sz w:val="22"/>
          <w:szCs w:val="22"/>
          <w:lang w:eastAsia="en-US"/>
        </w:rPr>
        <w:t>CPL Group website.</w:t>
      </w:r>
      <w:r w:rsidR="0095304A" w:rsidRPr="00DC329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2097C0A0" w14:textId="77777777" w:rsidR="002D5DA0" w:rsidRPr="00DC3290" w:rsidRDefault="002D5DA0" w:rsidP="00047B30">
      <w:pPr>
        <w:overflowPunct/>
        <w:autoSpaceDE/>
        <w:autoSpaceDN/>
        <w:adjustRightInd/>
        <w:spacing w:after="0" w:line="240" w:lineRule="auto"/>
        <w:ind w:left="0"/>
        <w:contextualSpacing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F2B9F4F" w14:textId="02C242F4" w:rsidR="0095304A" w:rsidRDefault="0095304A" w:rsidP="00E64433">
      <w:pPr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578B849F" w14:textId="3CE9EA77" w:rsidR="0095304A" w:rsidRPr="00047B30" w:rsidRDefault="003E6A40" w:rsidP="00047B30">
      <w:pPr>
        <w:pStyle w:val="Heading2"/>
        <w:numPr>
          <w:ilvl w:val="0"/>
          <w:numId w:val="15"/>
        </w:numPr>
        <w:ind w:left="357" w:hanging="357"/>
        <w:rPr>
          <w:rFonts w:asciiTheme="minorHAnsi" w:hAnsiTheme="minorHAnsi" w:cstheme="minorHAnsi"/>
          <w:color w:val="auto"/>
          <w:sz w:val="28"/>
          <w:szCs w:val="28"/>
        </w:rPr>
      </w:pPr>
      <w:bookmarkStart w:id="21" w:name="_Toc78401065"/>
      <w:r>
        <w:rPr>
          <w:rFonts w:asciiTheme="minorHAnsi" w:hAnsiTheme="minorHAnsi" w:cstheme="minorHAnsi"/>
          <w:color w:val="auto"/>
          <w:sz w:val="28"/>
          <w:szCs w:val="28"/>
        </w:rPr>
        <w:lastRenderedPageBreak/>
        <w:t>Review of Policy</w:t>
      </w:r>
      <w:bookmarkEnd w:id="21"/>
    </w:p>
    <w:p w14:paraId="4229F87E" w14:textId="3081F144" w:rsidR="0095304A" w:rsidRDefault="00043082" w:rsidP="00047B30">
      <w:pPr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policy will </w:t>
      </w:r>
      <w:r w:rsidR="00454B6B">
        <w:rPr>
          <w:rFonts w:asciiTheme="minorHAnsi" w:hAnsiTheme="minorHAnsi" w:cstheme="minorHAnsi"/>
          <w:sz w:val="22"/>
          <w:szCs w:val="22"/>
        </w:rPr>
        <w:t xml:space="preserve">be reviewed annually </w:t>
      </w:r>
      <w:r w:rsidR="008136F8">
        <w:rPr>
          <w:rFonts w:asciiTheme="minorHAnsi" w:hAnsiTheme="minorHAnsi" w:cstheme="minorHAnsi"/>
          <w:sz w:val="22"/>
          <w:szCs w:val="22"/>
        </w:rPr>
        <w:t>by the Board of Trustees in conjunction with the approval of the 5-year budget</w:t>
      </w:r>
      <w:r w:rsidR="0095304A" w:rsidRPr="0068710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F2EDA6E" w14:textId="3030D45B" w:rsidR="00F633EC" w:rsidRDefault="00F633EC">
      <w:pPr>
        <w:overflowPunct/>
        <w:autoSpaceDE/>
        <w:autoSpaceDN/>
        <w:adjustRightInd/>
        <w:spacing w:after="160" w:line="259" w:lineRule="auto"/>
        <w:ind w:left="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DB2EF0B" w14:textId="58F6057E" w:rsidR="0095304A" w:rsidRDefault="0095304A" w:rsidP="0095304A">
      <w:pPr>
        <w:pStyle w:val="Heading1"/>
        <w:ind w:left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22" w:name="_Toc78401066"/>
      <w:r w:rsidRPr="00DC3290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 xml:space="preserve">APPENDIX 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A</w:t>
      </w:r>
      <w:r w:rsidRPr="00DC329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– </w:t>
      </w:r>
      <w:r w:rsidR="000074BA">
        <w:rPr>
          <w:rFonts w:asciiTheme="minorHAnsi" w:hAnsiTheme="minorHAnsi" w:cstheme="minorHAnsi"/>
          <w:b/>
          <w:bCs/>
          <w:color w:val="auto"/>
          <w:sz w:val="24"/>
          <w:szCs w:val="24"/>
        </w:rPr>
        <w:t>Charity Reserves Calculation 2021/22</w:t>
      </w:r>
      <w:bookmarkEnd w:id="22"/>
    </w:p>
    <w:p w14:paraId="74384AB0" w14:textId="5783271F" w:rsidR="00C4298D" w:rsidRDefault="00C4298D" w:rsidP="00742F5C">
      <w:pPr>
        <w:ind w:left="0"/>
      </w:pPr>
    </w:p>
    <w:p w14:paraId="5D80B962" w14:textId="77777777" w:rsidR="00742F5C" w:rsidRDefault="00742F5C" w:rsidP="00742F5C">
      <w:pPr>
        <w:ind w:left="0"/>
      </w:pPr>
    </w:p>
    <w:sectPr w:rsidR="00742F5C" w:rsidSect="00C06569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E12C" w14:textId="77777777" w:rsidR="00A86D11" w:rsidRDefault="00A86D11" w:rsidP="00C06569">
      <w:pPr>
        <w:spacing w:after="0" w:line="240" w:lineRule="auto"/>
      </w:pPr>
      <w:r>
        <w:separator/>
      </w:r>
    </w:p>
  </w:endnote>
  <w:endnote w:type="continuationSeparator" w:id="0">
    <w:p w14:paraId="2B140B61" w14:textId="77777777" w:rsidR="00A86D11" w:rsidRDefault="00A86D11" w:rsidP="00C06569">
      <w:pPr>
        <w:spacing w:after="0" w:line="240" w:lineRule="auto"/>
      </w:pPr>
      <w:r>
        <w:continuationSeparator/>
      </w:r>
    </w:p>
  </w:endnote>
  <w:endnote w:type="continuationNotice" w:id="1">
    <w:p w14:paraId="53CF11B5" w14:textId="77777777" w:rsidR="00A86D11" w:rsidRDefault="00A86D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3845" w14:textId="77777777" w:rsidR="00D90E9C" w:rsidRDefault="00D90E9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53FDDB88" w14:textId="77777777" w:rsidR="00D90E9C" w:rsidRDefault="00D90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7F6A3" w14:textId="77777777" w:rsidR="00A86D11" w:rsidRDefault="00A86D11" w:rsidP="00C06569">
      <w:pPr>
        <w:spacing w:after="0" w:line="240" w:lineRule="auto"/>
      </w:pPr>
      <w:r>
        <w:separator/>
      </w:r>
    </w:p>
  </w:footnote>
  <w:footnote w:type="continuationSeparator" w:id="0">
    <w:p w14:paraId="5D02A2EE" w14:textId="77777777" w:rsidR="00A86D11" w:rsidRDefault="00A86D11" w:rsidP="00C06569">
      <w:pPr>
        <w:spacing w:after="0" w:line="240" w:lineRule="auto"/>
      </w:pPr>
      <w:r>
        <w:continuationSeparator/>
      </w:r>
    </w:p>
  </w:footnote>
  <w:footnote w:type="continuationNotice" w:id="1">
    <w:p w14:paraId="056EA7FC" w14:textId="77777777" w:rsidR="00A86D11" w:rsidRDefault="00A86D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2D6B" w14:textId="3FAF56F0" w:rsidR="00D90E9C" w:rsidRDefault="00D90E9C">
    <w:pPr>
      <w:pStyle w:val="Header"/>
    </w:pPr>
    <w:r>
      <w:rPr>
        <w:noProof/>
      </w:rPr>
      <w:drawing>
        <wp:anchor distT="0" distB="0" distL="114300" distR="114300" simplePos="0" relativeHeight="251662338" behindDoc="1" locked="0" layoutInCell="1" allowOverlap="1" wp14:anchorId="6170B341" wp14:editId="054526BB">
          <wp:simplePos x="0" y="0"/>
          <wp:positionH relativeFrom="page">
            <wp:posOffset>762000</wp:posOffset>
          </wp:positionH>
          <wp:positionV relativeFrom="paragraph">
            <wp:posOffset>-105410</wp:posOffset>
          </wp:positionV>
          <wp:extent cx="1619250" cy="361950"/>
          <wp:effectExtent l="0" t="0" r="0" b="0"/>
          <wp:wrapTight wrapText="bothSides">
            <wp:wrapPolygon edited="0">
              <wp:start x="0" y="0"/>
              <wp:lineTo x="0" y="20463"/>
              <wp:lineTo x="21346" y="20463"/>
              <wp:lineTo x="2134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90" behindDoc="1" locked="0" layoutInCell="1" allowOverlap="1" wp14:anchorId="32F9B6CB" wp14:editId="6759A6AB">
          <wp:simplePos x="0" y="0"/>
          <wp:positionH relativeFrom="page">
            <wp:posOffset>2376805</wp:posOffset>
          </wp:positionH>
          <wp:positionV relativeFrom="paragraph">
            <wp:posOffset>-105410</wp:posOffset>
          </wp:positionV>
          <wp:extent cx="5407660" cy="361950"/>
          <wp:effectExtent l="0" t="0" r="2540" b="0"/>
          <wp:wrapTight wrapText="bothSides">
            <wp:wrapPolygon edited="0">
              <wp:start x="0" y="0"/>
              <wp:lineTo x="0" y="20463"/>
              <wp:lineTo x="21534" y="20463"/>
              <wp:lineTo x="2153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12" t="20910" r="84757" b="67638"/>
                  <a:stretch/>
                </pic:blipFill>
                <pic:spPr bwMode="auto">
                  <a:xfrm>
                    <a:off x="0" y="0"/>
                    <a:ext cx="5407660" cy="361950"/>
                  </a:xfrm>
                  <a:prstGeom prst="rect">
                    <a:avLst/>
                  </a:prstGeom>
                  <a:solidFill>
                    <a:schemeClr val="accent1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79EF" w14:textId="519F888C" w:rsidR="00D90E9C" w:rsidRDefault="00D90E9C" w:rsidP="002B59C7">
    <w:pPr>
      <w:ind w:left="0"/>
    </w:pPr>
  </w:p>
  <w:p w14:paraId="720BCEF1" w14:textId="21987F8B" w:rsidR="00D90E9C" w:rsidRPr="002E558A" w:rsidRDefault="00D90E9C" w:rsidP="002B59C7"/>
  <w:p w14:paraId="4A0EDCF9" w14:textId="76E9723D" w:rsidR="00D90E9C" w:rsidRPr="002E558A" w:rsidRDefault="00D90E9C" w:rsidP="002B59C7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AC472C5" wp14:editId="39B78052">
              <wp:simplePos x="0" y="0"/>
              <wp:positionH relativeFrom="margin">
                <wp:align>left</wp:align>
              </wp:positionH>
              <wp:positionV relativeFrom="paragraph">
                <wp:posOffset>38735</wp:posOffset>
              </wp:positionV>
              <wp:extent cx="3216910" cy="8751570"/>
              <wp:effectExtent l="38100" t="38100" r="40640" b="304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6910" cy="8751570"/>
                      </a:xfrm>
                      <a:prstGeom prst="rect">
                        <a:avLst/>
                      </a:prstGeom>
                      <a:noFill/>
                      <a:ln w="76200">
                        <a:solidFill>
                          <a:srgbClr val="339E3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3903E1" id="Rectangle 3" o:spid="_x0000_s1026" style="position:absolute;margin-left:0;margin-top:3.05pt;width:253.3pt;height:689.1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" filled="f" strokecolor="#339e35" strokeweight="6pt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7923ED52" wp14:editId="72544F82">
              <wp:extent cx="5624830" cy="3851275"/>
              <wp:effectExtent l="0" t="0" r="0" b="0"/>
              <wp:docPr id="23" name="Rectangle 23" descr="CPL logo on green backgroun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624830" cy="3851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8EA483B" id="Rectangle 23" o:spid="_x0000_s1026" alt="CPL logo on green background" style="width:442.9pt;height:30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" filled="f" stroked="f">
              <o:lock v:ext="edit" aspectratio="t"/>
              <w10:anchorlock/>
            </v:rect>
          </w:pict>
        </mc:Fallback>
      </mc:AlternateContent>
    </w:r>
  </w:p>
  <w:p w14:paraId="37402C2D" w14:textId="74D07FAC" w:rsidR="00D90E9C" w:rsidRPr="002E558A" w:rsidRDefault="00D90E9C" w:rsidP="002B59C7">
    <w:r w:rsidRPr="000C4FA9">
      <w:rPr>
        <w:noProof/>
      </w:rPr>
      <w:drawing>
        <wp:anchor distT="0" distB="0" distL="114300" distR="114300" simplePos="0" relativeHeight="251658242" behindDoc="1" locked="0" layoutInCell="1" allowOverlap="1" wp14:anchorId="0D4794DD" wp14:editId="11919370">
          <wp:simplePos x="0" y="0"/>
          <wp:positionH relativeFrom="margin">
            <wp:posOffset>713567</wp:posOffset>
          </wp:positionH>
          <wp:positionV relativeFrom="paragraph">
            <wp:posOffset>58420</wp:posOffset>
          </wp:positionV>
          <wp:extent cx="1998345" cy="771525"/>
          <wp:effectExtent l="0" t="0" r="0" b="0"/>
          <wp:wrapTight wrapText="bothSides">
            <wp:wrapPolygon edited="0">
              <wp:start x="824" y="3200"/>
              <wp:lineTo x="824" y="17600"/>
              <wp:lineTo x="9472" y="17600"/>
              <wp:lineTo x="11943" y="16533"/>
              <wp:lineTo x="19973" y="13867"/>
              <wp:lineTo x="19973" y="12800"/>
              <wp:lineTo x="21003" y="8000"/>
              <wp:lineTo x="19767" y="6933"/>
              <wp:lineTo x="9472" y="3200"/>
              <wp:lineTo x="824" y="320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32222" b="58000" l="12374" r="34053">
                                <a14:foregroundMark x1="12407" y1="38778" x2="12407" y2="38778"/>
                                <a14:foregroundMark x1="16824" y1="43333" x2="16824" y2="43333"/>
                                <a14:foregroundMark x1="21881" y1="43000" x2="21881" y2="43000"/>
                                <a14:foregroundMark x1="24612" y1="41667" x2="24612" y2="41667"/>
                                <a14:foregroundMark x1="26939" y1="42556" x2="26939" y2="42556"/>
                                <a14:foregroundMark x1="29973" y1="41222" x2="29973" y2="41222"/>
                                <a14:foregroundMark x1="32771" y1="44000" x2="32771" y2="44000"/>
                                <a14:foregroundMark x1="34053" y1="42778" x2="34053" y2="42778"/>
                              </a14:backgroundRemoval>
                            </a14:imgEffect>
                          </a14:imgLayer>
                        </a14:imgProps>
                      </a:ext>
                    </a:extLst>
                  </a:blip>
                  <a:srcRect l="10327" t="29183" r="64411" b="38613"/>
                  <a:stretch/>
                </pic:blipFill>
                <pic:spPr bwMode="auto">
                  <a:xfrm>
                    <a:off x="0" y="0"/>
                    <a:ext cx="1998345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EB8D85" w14:textId="77777777" w:rsidR="00D90E9C" w:rsidRPr="002E558A" w:rsidRDefault="00D90E9C" w:rsidP="002B59C7">
    <w:pPr>
      <w:tabs>
        <w:tab w:val="left" w:pos="2138"/>
      </w:tabs>
    </w:pPr>
    <w:r w:rsidRPr="00DF178F">
      <w:rPr>
        <w:noProof/>
      </w:rPr>
      <w:drawing>
        <wp:inline distT="0" distB="0" distL="0" distR="0" wp14:anchorId="277B1DA6" wp14:editId="392D20AD">
          <wp:extent cx="5731510" cy="3922395"/>
          <wp:effectExtent l="0" t="0" r="2540" b="190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31510" cy="3922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EA0F29E" w14:textId="77777777" w:rsidR="00D90E9C" w:rsidRPr="002E558A" w:rsidRDefault="00D90E9C" w:rsidP="002B59C7"/>
  <w:p w14:paraId="2F88864B" w14:textId="77777777" w:rsidR="00D90E9C" w:rsidRPr="002E558A" w:rsidRDefault="00D90E9C" w:rsidP="002B59C7"/>
  <w:p w14:paraId="2394BE7E" w14:textId="77777777" w:rsidR="00D90E9C" w:rsidRPr="002E558A" w:rsidRDefault="00D90E9C" w:rsidP="002B59C7"/>
  <w:p w14:paraId="1C5CBA0C" w14:textId="77777777" w:rsidR="00D90E9C" w:rsidRPr="002E558A" w:rsidRDefault="00D90E9C" w:rsidP="002B59C7">
    <w:r>
      <w:rPr>
        <w:noProof/>
      </w:rPr>
      <mc:AlternateContent>
        <mc:Choice Requires="wps">
          <w:drawing>
            <wp:inline distT="0" distB="0" distL="0" distR="0" wp14:anchorId="134B6F9B" wp14:editId="50055038">
              <wp:extent cx="5624830" cy="3851275"/>
              <wp:effectExtent l="0" t="0" r="0" b="0"/>
              <wp:docPr id="24" name="Rectangle 24" descr="CPL logo on green backgroun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624830" cy="3851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5BA8072" id="Rectangle 24" o:spid="_x0000_s1026" alt="CPL logo on green background" style="width:442.9pt;height:30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" filled="f" stroked="f">
              <o:lock v:ext="edit" aspectratio="t"/>
              <w10:anchorlock/>
            </v:rect>
          </w:pict>
        </mc:Fallback>
      </mc:AlternateContent>
    </w:r>
  </w:p>
  <w:p w14:paraId="2C5A22C5" w14:textId="77777777" w:rsidR="00D90E9C" w:rsidRPr="002E558A" w:rsidRDefault="00D90E9C" w:rsidP="002B59C7"/>
  <w:p w14:paraId="18F4B330" w14:textId="77777777" w:rsidR="00D90E9C" w:rsidRPr="002E558A" w:rsidRDefault="00D90E9C" w:rsidP="002B59C7">
    <w:r w:rsidRPr="00DF178F">
      <w:rPr>
        <w:noProof/>
      </w:rPr>
      <w:drawing>
        <wp:inline distT="0" distB="0" distL="0" distR="0" wp14:anchorId="76E3560C" wp14:editId="0A69052C">
          <wp:extent cx="5731510" cy="3922395"/>
          <wp:effectExtent l="0" t="0" r="2540" b="1905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731510" cy="3922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8B072F" w14:textId="77777777" w:rsidR="00D90E9C" w:rsidRPr="002E558A" w:rsidRDefault="00D90E9C" w:rsidP="002B59C7"/>
  <w:p w14:paraId="369F929B" w14:textId="77777777" w:rsidR="00D90E9C" w:rsidRPr="002E558A" w:rsidRDefault="00D90E9C" w:rsidP="002B59C7"/>
  <w:p w14:paraId="22C819F4" w14:textId="77777777" w:rsidR="00D90E9C" w:rsidRPr="002E558A" w:rsidRDefault="00D90E9C" w:rsidP="002B59C7"/>
  <w:p w14:paraId="719870B7" w14:textId="77777777" w:rsidR="00D90E9C" w:rsidRPr="002E558A" w:rsidRDefault="00D90E9C" w:rsidP="002B59C7"/>
  <w:p w14:paraId="00291CD6" w14:textId="77777777" w:rsidR="00D90E9C" w:rsidRDefault="00D90E9C" w:rsidP="002B59C7"/>
  <w:p w14:paraId="4443F710" w14:textId="77777777" w:rsidR="00D90E9C" w:rsidRDefault="00D90E9C" w:rsidP="002B59C7">
    <w:pPr>
      <w:tabs>
        <w:tab w:val="left" w:pos="2238"/>
      </w:tabs>
    </w:pPr>
    <w:r>
      <w:tab/>
    </w:r>
  </w:p>
  <w:p w14:paraId="7E69F8ED" w14:textId="77777777" w:rsidR="00D90E9C" w:rsidRDefault="00D90E9C" w:rsidP="002B59C7">
    <w:pPr>
      <w:tabs>
        <w:tab w:val="left" w:pos="2238"/>
      </w:tabs>
    </w:pPr>
  </w:p>
  <w:p w14:paraId="427F9BB3" w14:textId="77777777" w:rsidR="00D90E9C" w:rsidRDefault="00D90E9C" w:rsidP="002B59C7">
    <w:pPr>
      <w:tabs>
        <w:tab w:val="left" w:pos="2238"/>
      </w:tabs>
    </w:pPr>
  </w:p>
  <w:p w14:paraId="348508C1" w14:textId="77777777" w:rsidR="00D90E9C" w:rsidRDefault="00D90E9C" w:rsidP="002B59C7">
    <w:pPr>
      <w:tabs>
        <w:tab w:val="left" w:pos="2238"/>
      </w:tabs>
    </w:pPr>
  </w:p>
  <w:p w14:paraId="6EADAF13" w14:textId="77777777" w:rsidR="00D90E9C" w:rsidRDefault="00D90E9C" w:rsidP="002B59C7">
    <w:pPr>
      <w:tabs>
        <w:tab w:val="left" w:pos="2238"/>
      </w:tabs>
    </w:pPr>
  </w:p>
  <w:p w14:paraId="18225960" w14:textId="77777777" w:rsidR="00D90E9C" w:rsidRDefault="00D90E9C" w:rsidP="002B59C7">
    <w:pPr>
      <w:tabs>
        <w:tab w:val="left" w:pos="2238"/>
      </w:tabs>
    </w:pPr>
  </w:p>
  <w:p w14:paraId="78CB79E2" w14:textId="77777777" w:rsidR="00D90E9C" w:rsidRDefault="00D90E9C" w:rsidP="002B59C7">
    <w:pPr>
      <w:tabs>
        <w:tab w:val="left" w:pos="2238"/>
      </w:tabs>
    </w:pPr>
  </w:p>
  <w:p w14:paraId="310FD447" w14:textId="77777777" w:rsidR="00D90E9C" w:rsidRDefault="00D90E9C" w:rsidP="002B59C7">
    <w:pPr>
      <w:tabs>
        <w:tab w:val="left" w:pos="2238"/>
      </w:tabs>
    </w:pPr>
  </w:p>
  <w:p w14:paraId="474F8754" w14:textId="77777777" w:rsidR="00D90E9C" w:rsidRDefault="00D90E9C" w:rsidP="002B59C7">
    <w:pPr>
      <w:tabs>
        <w:tab w:val="left" w:pos="2238"/>
      </w:tabs>
    </w:pPr>
  </w:p>
  <w:p w14:paraId="51076BB2" w14:textId="77777777" w:rsidR="00D90E9C" w:rsidRDefault="00D90E9C" w:rsidP="002B59C7">
    <w:pPr>
      <w:tabs>
        <w:tab w:val="left" w:pos="2238"/>
      </w:tabs>
    </w:pPr>
  </w:p>
  <w:p w14:paraId="24BB5EC3" w14:textId="77777777" w:rsidR="00D90E9C" w:rsidRDefault="00D90E9C" w:rsidP="002B59C7">
    <w:pPr>
      <w:tabs>
        <w:tab w:val="left" w:pos="2238"/>
      </w:tabs>
    </w:pPr>
  </w:p>
  <w:p w14:paraId="432F232D" w14:textId="77777777" w:rsidR="00D90E9C" w:rsidRDefault="00D90E9C" w:rsidP="002B59C7">
    <w:pPr>
      <w:tabs>
        <w:tab w:val="left" w:pos="2238"/>
      </w:tabs>
    </w:pPr>
  </w:p>
  <w:p w14:paraId="02654201" w14:textId="77777777" w:rsidR="00D90E9C" w:rsidRDefault="00D90E9C" w:rsidP="002B59C7">
    <w:pPr>
      <w:tabs>
        <w:tab w:val="left" w:pos="2238"/>
      </w:tabs>
    </w:pPr>
  </w:p>
  <w:p w14:paraId="01A1CCE0" w14:textId="77777777" w:rsidR="00D90E9C" w:rsidRDefault="00D90E9C" w:rsidP="002B59C7">
    <w:pPr>
      <w:tabs>
        <w:tab w:val="left" w:pos="2238"/>
      </w:tabs>
    </w:pPr>
  </w:p>
  <w:p w14:paraId="373D5CCF" w14:textId="77777777" w:rsidR="00D90E9C" w:rsidRDefault="00D90E9C" w:rsidP="002B59C7">
    <w:pPr>
      <w:tabs>
        <w:tab w:val="left" w:pos="2238"/>
      </w:tabs>
    </w:pPr>
  </w:p>
  <w:p w14:paraId="481E3AD9" w14:textId="77777777" w:rsidR="00D90E9C" w:rsidRDefault="00D90E9C" w:rsidP="002B59C7">
    <w:pPr>
      <w:tabs>
        <w:tab w:val="left" w:pos="2238"/>
      </w:tabs>
    </w:pPr>
  </w:p>
  <w:p w14:paraId="2AB3325F" w14:textId="77777777" w:rsidR="00D90E9C" w:rsidRDefault="00D90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49C"/>
    <w:multiLevelType w:val="hybridMultilevel"/>
    <w:tmpl w:val="3DD8FB48"/>
    <w:lvl w:ilvl="0" w:tplc="C6205CCE">
      <w:start w:val="1"/>
      <w:numFmt w:val="decimal"/>
      <w:lvlText w:val="%1."/>
      <w:lvlJc w:val="left"/>
      <w:pPr>
        <w:ind w:left="360" w:hanging="927"/>
      </w:pPr>
      <w:rPr>
        <w:rFonts w:asciiTheme="minorHAnsi" w:hAnsiTheme="minorHAnsi" w:cstheme="minorHAnsi" w:hint="default"/>
        <w:color w:val="auto"/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320011C"/>
    <w:multiLevelType w:val="hybridMultilevel"/>
    <w:tmpl w:val="8CCE2F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51044"/>
    <w:multiLevelType w:val="multilevel"/>
    <w:tmpl w:val="B76C5A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0C379E"/>
    <w:multiLevelType w:val="multilevel"/>
    <w:tmpl w:val="C0C6DD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8F13CB8"/>
    <w:multiLevelType w:val="hybridMultilevel"/>
    <w:tmpl w:val="6E0EA936"/>
    <w:lvl w:ilvl="0" w:tplc="0540E83C">
      <w:start w:val="1"/>
      <w:numFmt w:val="decimal"/>
      <w:lvlText w:val="%1."/>
      <w:lvlJc w:val="left"/>
      <w:pPr>
        <w:ind w:left="1284" w:hanging="360"/>
      </w:pPr>
      <w:rPr>
        <w:rFonts w:asciiTheme="minorHAnsi" w:hAnsiTheme="minorHAnsi" w:cstheme="minorHAnsi" w:hint="default"/>
        <w:b w:val="0"/>
        <w:bCs w:val="0"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" w15:restartNumberingAfterBreak="0">
    <w:nsid w:val="0EFA40E6"/>
    <w:multiLevelType w:val="hybridMultilevel"/>
    <w:tmpl w:val="7B087AF6"/>
    <w:lvl w:ilvl="0" w:tplc="225ED07A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F4FFB"/>
    <w:multiLevelType w:val="hybridMultilevel"/>
    <w:tmpl w:val="A7CA71F2"/>
    <w:lvl w:ilvl="0" w:tplc="B2D87732">
      <w:start w:val="1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273843DA"/>
    <w:multiLevelType w:val="hybridMultilevel"/>
    <w:tmpl w:val="468A726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A3E4D21"/>
    <w:multiLevelType w:val="hybridMultilevel"/>
    <w:tmpl w:val="46E2C82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97744F4"/>
    <w:multiLevelType w:val="hybridMultilevel"/>
    <w:tmpl w:val="31BA3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72D85"/>
    <w:multiLevelType w:val="hybridMultilevel"/>
    <w:tmpl w:val="8B7EC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4039C"/>
    <w:multiLevelType w:val="hybridMultilevel"/>
    <w:tmpl w:val="B3B4B54A"/>
    <w:lvl w:ilvl="0" w:tplc="1E4E136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54BC7A53"/>
    <w:multiLevelType w:val="hybridMultilevel"/>
    <w:tmpl w:val="ED068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30088"/>
    <w:multiLevelType w:val="hybridMultilevel"/>
    <w:tmpl w:val="14FEA5AC"/>
    <w:lvl w:ilvl="0" w:tplc="866AF83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64066"/>
    <w:multiLevelType w:val="hybridMultilevel"/>
    <w:tmpl w:val="7F9264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D5BA9"/>
    <w:multiLevelType w:val="hybridMultilevel"/>
    <w:tmpl w:val="D7E29CDC"/>
    <w:lvl w:ilvl="0" w:tplc="E5245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9D53A57"/>
    <w:multiLevelType w:val="hybridMultilevel"/>
    <w:tmpl w:val="6EEEFBE2"/>
    <w:lvl w:ilvl="0" w:tplc="CCC8B9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2"/>
  </w:num>
  <w:num w:numId="5">
    <w:abstractNumId w:val="1"/>
  </w:num>
  <w:num w:numId="6">
    <w:abstractNumId w:val="15"/>
  </w:num>
  <w:num w:numId="7">
    <w:abstractNumId w:val="6"/>
  </w:num>
  <w:num w:numId="8">
    <w:abstractNumId w:val="13"/>
  </w:num>
  <w:num w:numId="9">
    <w:abstractNumId w:val="7"/>
  </w:num>
  <w:num w:numId="10">
    <w:abstractNumId w:val="8"/>
  </w:num>
  <w:num w:numId="11">
    <w:abstractNumId w:val="9"/>
  </w:num>
  <w:num w:numId="12">
    <w:abstractNumId w:val="12"/>
  </w:num>
  <w:num w:numId="13">
    <w:abstractNumId w:val="0"/>
  </w:num>
  <w:num w:numId="14">
    <w:abstractNumId w:val="16"/>
  </w:num>
  <w:num w:numId="15">
    <w:abstractNumId w:val="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8A"/>
    <w:rsid w:val="00004745"/>
    <w:rsid w:val="000074BA"/>
    <w:rsid w:val="00011305"/>
    <w:rsid w:val="000115C2"/>
    <w:rsid w:val="000225D7"/>
    <w:rsid w:val="000350CF"/>
    <w:rsid w:val="0004094E"/>
    <w:rsid w:val="00043082"/>
    <w:rsid w:val="00047B30"/>
    <w:rsid w:val="000502F2"/>
    <w:rsid w:val="0007482F"/>
    <w:rsid w:val="000778A8"/>
    <w:rsid w:val="0009270F"/>
    <w:rsid w:val="000A3AA4"/>
    <w:rsid w:val="000A6F8B"/>
    <w:rsid w:val="000A7512"/>
    <w:rsid w:val="000B4FE6"/>
    <w:rsid w:val="000B5E4F"/>
    <w:rsid w:val="000B62BD"/>
    <w:rsid w:val="000C4967"/>
    <w:rsid w:val="000C4DDE"/>
    <w:rsid w:val="000D2723"/>
    <w:rsid w:val="000D4A78"/>
    <w:rsid w:val="000D57EA"/>
    <w:rsid w:val="000E1C21"/>
    <w:rsid w:val="000E1C6F"/>
    <w:rsid w:val="000F30F1"/>
    <w:rsid w:val="000F73A6"/>
    <w:rsid w:val="001103B7"/>
    <w:rsid w:val="00113D7C"/>
    <w:rsid w:val="00120F78"/>
    <w:rsid w:val="00124CA4"/>
    <w:rsid w:val="00125D47"/>
    <w:rsid w:val="0012673C"/>
    <w:rsid w:val="00131CB9"/>
    <w:rsid w:val="00133FCB"/>
    <w:rsid w:val="00137906"/>
    <w:rsid w:val="00137CC1"/>
    <w:rsid w:val="0014042F"/>
    <w:rsid w:val="00150B97"/>
    <w:rsid w:val="00155D05"/>
    <w:rsid w:val="00156606"/>
    <w:rsid w:val="00163C87"/>
    <w:rsid w:val="00171ED8"/>
    <w:rsid w:val="00173773"/>
    <w:rsid w:val="00182E53"/>
    <w:rsid w:val="0019725E"/>
    <w:rsid w:val="001A3475"/>
    <w:rsid w:val="001A727A"/>
    <w:rsid w:val="001B1495"/>
    <w:rsid w:val="001B4257"/>
    <w:rsid w:val="001B6B39"/>
    <w:rsid w:val="001D0741"/>
    <w:rsid w:val="001D1E21"/>
    <w:rsid w:val="001E5892"/>
    <w:rsid w:val="0020598F"/>
    <w:rsid w:val="00210ED6"/>
    <w:rsid w:val="00215A81"/>
    <w:rsid w:val="002200CD"/>
    <w:rsid w:val="00220E9A"/>
    <w:rsid w:val="00225A48"/>
    <w:rsid w:val="00234FB7"/>
    <w:rsid w:val="00235228"/>
    <w:rsid w:val="00253743"/>
    <w:rsid w:val="00256254"/>
    <w:rsid w:val="002570BD"/>
    <w:rsid w:val="00264DD1"/>
    <w:rsid w:val="002770BE"/>
    <w:rsid w:val="00280BA1"/>
    <w:rsid w:val="00285E6A"/>
    <w:rsid w:val="00291D14"/>
    <w:rsid w:val="00297118"/>
    <w:rsid w:val="002B25FB"/>
    <w:rsid w:val="002B59C7"/>
    <w:rsid w:val="002B6895"/>
    <w:rsid w:val="002C6D90"/>
    <w:rsid w:val="002D5DA0"/>
    <w:rsid w:val="002E558A"/>
    <w:rsid w:val="002E7970"/>
    <w:rsid w:val="002F54F4"/>
    <w:rsid w:val="00301758"/>
    <w:rsid w:val="00304E52"/>
    <w:rsid w:val="0032771D"/>
    <w:rsid w:val="00343FAA"/>
    <w:rsid w:val="003510C2"/>
    <w:rsid w:val="00352A75"/>
    <w:rsid w:val="0035642E"/>
    <w:rsid w:val="003574DD"/>
    <w:rsid w:val="0037100B"/>
    <w:rsid w:val="00373EA8"/>
    <w:rsid w:val="00380B9F"/>
    <w:rsid w:val="00382428"/>
    <w:rsid w:val="00392178"/>
    <w:rsid w:val="00395EC1"/>
    <w:rsid w:val="00396E25"/>
    <w:rsid w:val="00397F6A"/>
    <w:rsid w:val="003A100F"/>
    <w:rsid w:val="003C063E"/>
    <w:rsid w:val="003C2A21"/>
    <w:rsid w:val="003C5FF2"/>
    <w:rsid w:val="003E6A40"/>
    <w:rsid w:val="003E77E5"/>
    <w:rsid w:val="003F2F42"/>
    <w:rsid w:val="003F6AB1"/>
    <w:rsid w:val="003F7355"/>
    <w:rsid w:val="00400209"/>
    <w:rsid w:val="00401760"/>
    <w:rsid w:val="004043B0"/>
    <w:rsid w:val="00415073"/>
    <w:rsid w:val="00435C44"/>
    <w:rsid w:val="0044057E"/>
    <w:rsid w:val="0045016B"/>
    <w:rsid w:val="00451C99"/>
    <w:rsid w:val="00454B6B"/>
    <w:rsid w:val="004567D0"/>
    <w:rsid w:val="00460503"/>
    <w:rsid w:val="004662E6"/>
    <w:rsid w:val="00474925"/>
    <w:rsid w:val="0048296D"/>
    <w:rsid w:val="00487FF3"/>
    <w:rsid w:val="0049014F"/>
    <w:rsid w:val="004935C1"/>
    <w:rsid w:val="00493ED8"/>
    <w:rsid w:val="00494462"/>
    <w:rsid w:val="00496746"/>
    <w:rsid w:val="004B2EFF"/>
    <w:rsid w:val="004D2C2F"/>
    <w:rsid w:val="004D3DBC"/>
    <w:rsid w:val="004D5F9E"/>
    <w:rsid w:val="004E5F57"/>
    <w:rsid w:val="005178AD"/>
    <w:rsid w:val="005354E0"/>
    <w:rsid w:val="00543C0C"/>
    <w:rsid w:val="00553A7D"/>
    <w:rsid w:val="00561824"/>
    <w:rsid w:val="00563EAF"/>
    <w:rsid w:val="005644E5"/>
    <w:rsid w:val="00576017"/>
    <w:rsid w:val="005849EC"/>
    <w:rsid w:val="00597550"/>
    <w:rsid w:val="0059797B"/>
    <w:rsid w:val="005A6139"/>
    <w:rsid w:val="005B29E3"/>
    <w:rsid w:val="005B2E38"/>
    <w:rsid w:val="005B6317"/>
    <w:rsid w:val="005C2A8E"/>
    <w:rsid w:val="005D7077"/>
    <w:rsid w:val="005E4FF7"/>
    <w:rsid w:val="005E52F0"/>
    <w:rsid w:val="005F03A1"/>
    <w:rsid w:val="005F4C11"/>
    <w:rsid w:val="005F501E"/>
    <w:rsid w:val="005F6CC9"/>
    <w:rsid w:val="00602CAE"/>
    <w:rsid w:val="00611BC1"/>
    <w:rsid w:val="00612654"/>
    <w:rsid w:val="00616C01"/>
    <w:rsid w:val="006402AF"/>
    <w:rsid w:val="0064371B"/>
    <w:rsid w:val="00645FB1"/>
    <w:rsid w:val="00652F86"/>
    <w:rsid w:val="006571AF"/>
    <w:rsid w:val="00663E06"/>
    <w:rsid w:val="00670976"/>
    <w:rsid w:val="00672E36"/>
    <w:rsid w:val="0067315C"/>
    <w:rsid w:val="006768F0"/>
    <w:rsid w:val="006835DD"/>
    <w:rsid w:val="006A063F"/>
    <w:rsid w:val="006A1721"/>
    <w:rsid w:val="006A4FBB"/>
    <w:rsid w:val="006A523E"/>
    <w:rsid w:val="006B6C7F"/>
    <w:rsid w:val="006C1EBE"/>
    <w:rsid w:val="006C5DDB"/>
    <w:rsid w:val="006E3AEC"/>
    <w:rsid w:val="007102B3"/>
    <w:rsid w:val="00714F23"/>
    <w:rsid w:val="007307FF"/>
    <w:rsid w:val="0073141D"/>
    <w:rsid w:val="007417CD"/>
    <w:rsid w:val="00742F5C"/>
    <w:rsid w:val="007436DD"/>
    <w:rsid w:val="00743744"/>
    <w:rsid w:val="0076376E"/>
    <w:rsid w:val="00767393"/>
    <w:rsid w:val="00767BBC"/>
    <w:rsid w:val="00771392"/>
    <w:rsid w:val="00786B2D"/>
    <w:rsid w:val="00791F00"/>
    <w:rsid w:val="007A6AD9"/>
    <w:rsid w:val="007A71A9"/>
    <w:rsid w:val="007B5303"/>
    <w:rsid w:val="007B54CF"/>
    <w:rsid w:val="007C1317"/>
    <w:rsid w:val="007C2F1E"/>
    <w:rsid w:val="007C3D0F"/>
    <w:rsid w:val="007D31FF"/>
    <w:rsid w:val="007D3EDA"/>
    <w:rsid w:val="007D5F8E"/>
    <w:rsid w:val="007E04E1"/>
    <w:rsid w:val="007E1DE2"/>
    <w:rsid w:val="007E4AD4"/>
    <w:rsid w:val="007E54EF"/>
    <w:rsid w:val="007E6CCC"/>
    <w:rsid w:val="007F543D"/>
    <w:rsid w:val="007F5AE9"/>
    <w:rsid w:val="007F794D"/>
    <w:rsid w:val="007F79C0"/>
    <w:rsid w:val="00801BF6"/>
    <w:rsid w:val="008136F8"/>
    <w:rsid w:val="0083080F"/>
    <w:rsid w:val="00832F5F"/>
    <w:rsid w:val="008540CA"/>
    <w:rsid w:val="008565BC"/>
    <w:rsid w:val="00857B93"/>
    <w:rsid w:val="00862397"/>
    <w:rsid w:val="00872BEE"/>
    <w:rsid w:val="00875848"/>
    <w:rsid w:val="00881227"/>
    <w:rsid w:val="00894BEF"/>
    <w:rsid w:val="008C006B"/>
    <w:rsid w:val="008C0F8D"/>
    <w:rsid w:val="008D3D84"/>
    <w:rsid w:val="008D6508"/>
    <w:rsid w:val="008F0934"/>
    <w:rsid w:val="008F14BA"/>
    <w:rsid w:val="008F7249"/>
    <w:rsid w:val="0090316E"/>
    <w:rsid w:val="009048A3"/>
    <w:rsid w:val="00920CD3"/>
    <w:rsid w:val="00935530"/>
    <w:rsid w:val="00941335"/>
    <w:rsid w:val="00947BE6"/>
    <w:rsid w:val="0095304A"/>
    <w:rsid w:val="00963E0E"/>
    <w:rsid w:val="00973CB6"/>
    <w:rsid w:val="009A3853"/>
    <w:rsid w:val="009A3C92"/>
    <w:rsid w:val="009A460D"/>
    <w:rsid w:val="009A6942"/>
    <w:rsid w:val="009C54E5"/>
    <w:rsid w:val="009D5FB6"/>
    <w:rsid w:val="009F3010"/>
    <w:rsid w:val="009F7ACA"/>
    <w:rsid w:val="00A042A9"/>
    <w:rsid w:val="00A07BC1"/>
    <w:rsid w:val="00A14B6F"/>
    <w:rsid w:val="00A21968"/>
    <w:rsid w:val="00A24A50"/>
    <w:rsid w:val="00A268A8"/>
    <w:rsid w:val="00A2727D"/>
    <w:rsid w:val="00A34B51"/>
    <w:rsid w:val="00A34D9B"/>
    <w:rsid w:val="00A40CD4"/>
    <w:rsid w:val="00A41370"/>
    <w:rsid w:val="00A4453F"/>
    <w:rsid w:val="00A47570"/>
    <w:rsid w:val="00A713F8"/>
    <w:rsid w:val="00A72239"/>
    <w:rsid w:val="00A72859"/>
    <w:rsid w:val="00A85471"/>
    <w:rsid w:val="00A85DE4"/>
    <w:rsid w:val="00A86D11"/>
    <w:rsid w:val="00A92A70"/>
    <w:rsid w:val="00A944B4"/>
    <w:rsid w:val="00A94D48"/>
    <w:rsid w:val="00AB0CF0"/>
    <w:rsid w:val="00AB3D0B"/>
    <w:rsid w:val="00AC5978"/>
    <w:rsid w:val="00AC630D"/>
    <w:rsid w:val="00AE3519"/>
    <w:rsid w:val="00AE49D7"/>
    <w:rsid w:val="00AE5D65"/>
    <w:rsid w:val="00AF4D5A"/>
    <w:rsid w:val="00AF6289"/>
    <w:rsid w:val="00B11AC4"/>
    <w:rsid w:val="00B156C5"/>
    <w:rsid w:val="00B3062A"/>
    <w:rsid w:val="00B31EA9"/>
    <w:rsid w:val="00B35CDB"/>
    <w:rsid w:val="00B61545"/>
    <w:rsid w:val="00B61874"/>
    <w:rsid w:val="00B640F2"/>
    <w:rsid w:val="00B65522"/>
    <w:rsid w:val="00B725C0"/>
    <w:rsid w:val="00B74E5C"/>
    <w:rsid w:val="00B870F6"/>
    <w:rsid w:val="00B96E6D"/>
    <w:rsid w:val="00B976E7"/>
    <w:rsid w:val="00B97C27"/>
    <w:rsid w:val="00BA002F"/>
    <w:rsid w:val="00BA14A6"/>
    <w:rsid w:val="00BA687B"/>
    <w:rsid w:val="00BA69D4"/>
    <w:rsid w:val="00BB1760"/>
    <w:rsid w:val="00BB3D8C"/>
    <w:rsid w:val="00BB6653"/>
    <w:rsid w:val="00BB707F"/>
    <w:rsid w:val="00BC2E5C"/>
    <w:rsid w:val="00BC6DD0"/>
    <w:rsid w:val="00BE00C0"/>
    <w:rsid w:val="00BE3280"/>
    <w:rsid w:val="00BE418C"/>
    <w:rsid w:val="00BE4851"/>
    <w:rsid w:val="00BE62C5"/>
    <w:rsid w:val="00BF4AC4"/>
    <w:rsid w:val="00BF4C99"/>
    <w:rsid w:val="00C01255"/>
    <w:rsid w:val="00C03081"/>
    <w:rsid w:val="00C06569"/>
    <w:rsid w:val="00C0752D"/>
    <w:rsid w:val="00C11369"/>
    <w:rsid w:val="00C177B9"/>
    <w:rsid w:val="00C335B6"/>
    <w:rsid w:val="00C358A6"/>
    <w:rsid w:val="00C4298D"/>
    <w:rsid w:val="00C42F55"/>
    <w:rsid w:val="00C50F78"/>
    <w:rsid w:val="00C62609"/>
    <w:rsid w:val="00C702CC"/>
    <w:rsid w:val="00C7256C"/>
    <w:rsid w:val="00C72C38"/>
    <w:rsid w:val="00C75AC1"/>
    <w:rsid w:val="00C771D0"/>
    <w:rsid w:val="00C8182E"/>
    <w:rsid w:val="00C842DF"/>
    <w:rsid w:val="00C87130"/>
    <w:rsid w:val="00CA03AC"/>
    <w:rsid w:val="00CA3C8B"/>
    <w:rsid w:val="00CA5906"/>
    <w:rsid w:val="00CA78F4"/>
    <w:rsid w:val="00CB5D22"/>
    <w:rsid w:val="00CC1E65"/>
    <w:rsid w:val="00CD1BB6"/>
    <w:rsid w:val="00CD5BFE"/>
    <w:rsid w:val="00CD6830"/>
    <w:rsid w:val="00CE5A33"/>
    <w:rsid w:val="00CF0509"/>
    <w:rsid w:val="00CF6ED0"/>
    <w:rsid w:val="00D02DF8"/>
    <w:rsid w:val="00D03DFD"/>
    <w:rsid w:val="00D05FF7"/>
    <w:rsid w:val="00D12B75"/>
    <w:rsid w:val="00D132B9"/>
    <w:rsid w:val="00D2795F"/>
    <w:rsid w:val="00D42DDE"/>
    <w:rsid w:val="00D5052A"/>
    <w:rsid w:val="00D5090C"/>
    <w:rsid w:val="00D610D7"/>
    <w:rsid w:val="00D71522"/>
    <w:rsid w:val="00D7734C"/>
    <w:rsid w:val="00D8541A"/>
    <w:rsid w:val="00D87747"/>
    <w:rsid w:val="00D87F7E"/>
    <w:rsid w:val="00D90E9C"/>
    <w:rsid w:val="00D96CBD"/>
    <w:rsid w:val="00D970BE"/>
    <w:rsid w:val="00DA0F97"/>
    <w:rsid w:val="00DB4937"/>
    <w:rsid w:val="00DB526F"/>
    <w:rsid w:val="00DC2C99"/>
    <w:rsid w:val="00DD079A"/>
    <w:rsid w:val="00DE0980"/>
    <w:rsid w:val="00DE3F2A"/>
    <w:rsid w:val="00DE68E2"/>
    <w:rsid w:val="00DE6FF9"/>
    <w:rsid w:val="00DF0445"/>
    <w:rsid w:val="00DF0727"/>
    <w:rsid w:val="00DF178F"/>
    <w:rsid w:val="00DF3427"/>
    <w:rsid w:val="00DF550B"/>
    <w:rsid w:val="00DF6A3B"/>
    <w:rsid w:val="00E02F28"/>
    <w:rsid w:val="00E07750"/>
    <w:rsid w:val="00E07DA2"/>
    <w:rsid w:val="00E127F6"/>
    <w:rsid w:val="00E17313"/>
    <w:rsid w:val="00E21059"/>
    <w:rsid w:val="00E21F84"/>
    <w:rsid w:val="00E246AF"/>
    <w:rsid w:val="00E270BA"/>
    <w:rsid w:val="00E3484A"/>
    <w:rsid w:val="00E4356A"/>
    <w:rsid w:val="00E43944"/>
    <w:rsid w:val="00E52A8B"/>
    <w:rsid w:val="00E554B0"/>
    <w:rsid w:val="00E55787"/>
    <w:rsid w:val="00E55849"/>
    <w:rsid w:val="00E61CDE"/>
    <w:rsid w:val="00E64433"/>
    <w:rsid w:val="00E732BD"/>
    <w:rsid w:val="00E733BB"/>
    <w:rsid w:val="00E747EC"/>
    <w:rsid w:val="00E81D20"/>
    <w:rsid w:val="00E909D3"/>
    <w:rsid w:val="00EA737C"/>
    <w:rsid w:val="00EB0058"/>
    <w:rsid w:val="00EB280E"/>
    <w:rsid w:val="00EF08DF"/>
    <w:rsid w:val="00F032E7"/>
    <w:rsid w:val="00F03DB5"/>
    <w:rsid w:val="00F07501"/>
    <w:rsid w:val="00F26ADF"/>
    <w:rsid w:val="00F33FD7"/>
    <w:rsid w:val="00F35B69"/>
    <w:rsid w:val="00F458EE"/>
    <w:rsid w:val="00F633EC"/>
    <w:rsid w:val="00F651ED"/>
    <w:rsid w:val="00F652BA"/>
    <w:rsid w:val="00F73FC7"/>
    <w:rsid w:val="00F76C6F"/>
    <w:rsid w:val="00F83E7E"/>
    <w:rsid w:val="00F86755"/>
    <w:rsid w:val="00F93D56"/>
    <w:rsid w:val="00FA0FAD"/>
    <w:rsid w:val="00FA5C91"/>
    <w:rsid w:val="00FA6CEE"/>
    <w:rsid w:val="00FB0817"/>
    <w:rsid w:val="00FC36E6"/>
    <w:rsid w:val="00FD1194"/>
    <w:rsid w:val="00FD5922"/>
    <w:rsid w:val="00FD5BB9"/>
    <w:rsid w:val="00FE333E"/>
    <w:rsid w:val="00FE4D99"/>
    <w:rsid w:val="00FE4E19"/>
    <w:rsid w:val="00FE5F69"/>
    <w:rsid w:val="00FE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AADFF"/>
  <w15:chartTrackingRefBased/>
  <w15:docId w15:val="{17C53024-F68B-4B5E-A9DA-66F5EF1D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E558A"/>
    <w:pPr>
      <w:overflowPunct w:val="0"/>
      <w:autoSpaceDE w:val="0"/>
      <w:autoSpaceDN w:val="0"/>
      <w:adjustRightInd w:val="0"/>
      <w:spacing w:after="140" w:line="280" w:lineRule="exact"/>
      <w:ind w:left="567"/>
      <w:textAlignment w:val="baseline"/>
    </w:pPr>
    <w:rPr>
      <w:rFonts w:ascii="Arial" w:eastAsia="Times New Roman" w:hAnsi="Arial" w:cs="Times New Roman"/>
      <w:sz w:val="18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5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4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558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558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E558A"/>
    <w:pPr>
      <w:overflowPunct/>
      <w:autoSpaceDE/>
      <w:autoSpaceDN/>
      <w:adjustRightInd/>
      <w:spacing w:before="480" w:after="280" w:line="276" w:lineRule="auto"/>
      <w:ind w:left="0"/>
      <w:textAlignment w:val="auto"/>
      <w:outlineLvl w:val="9"/>
    </w:pPr>
    <w:rPr>
      <w:rFonts w:ascii="Cambria" w:eastAsia="Times New Roman" w:hAnsi="Cambria" w:cstheme="majorHAnsi"/>
      <w:bCs/>
      <w:color w:val="365F91"/>
      <w:sz w:val="31"/>
      <w:szCs w:val="28"/>
      <w:lang w:val="en-US" w:eastAsia="en-US"/>
    </w:rPr>
  </w:style>
  <w:style w:type="paragraph" w:styleId="TOC1">
    <w:name w:val="toc 1"/>
    <w:basedOn w:val="Normal"/>
    <w:next w:val="Normal"/>
    <w:uiPriority w:val="39"/>
    <w:qFormat/>
    <w:rsid w:val="002E558A"/>
    <w:pPr>
      <w:tabs>
        <w:tab w:val="right" w:leader="dot" w:pos="9628"/>
      </w:tabs>
      <w:spacing w:before="280"/>
      <w:ind w:hanging="567"/>
    </w:pPr>
    <w:rPr>
      <w:rFonts w:ascii="Calibri" w:hAnsi="Calibri" w:cs="Lucida Sans Unicode"/>
      <w:b/>
      <w:bCs/>
      <w:noProof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7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78F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06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569"/>
    <w:rPr>
      <w:rFonts w:ascii="Arial" w:eastAsia="Times New Roman" w:hAnsi="Arial" w:cs="Times New Roman"/>
      <w:sz w:val="18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06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569"/>
    <w:rPr>
      <w:rFonts w:ascii="Arial" w:eastAsia="Times New Roman" w:hAnsi="Arial" w:cs="Times New Roman"/>
      <w:sz w:val="1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71392"/>
    <w:pPr>
      <w:ind w:left="720"/>
      <w:contextualSpacing/>
    </w:pPr>
  </w:style>
  <w:style w:type="table" w:styleId="TableGrid">
    <w:name w:val="Table Grid"/>
    <w:basedOn w:val="TableNormal"/>
    <w:uiPriority w:val="39"/>
    <w:rsid w:val="0095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3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04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04A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433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443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NoSpacing">
    <w:name w:val="No Spacing"/>
    <w:uiPriority w:val="1"/>
    <w:qFormat/>
    <w:rsid w:val="00E64433"/>
    <w:pPr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Arial" w:eastAsia="Times New Roman" w:hAnsi="Arial" w:cs="Times New Roman"/>
      <w:sz w:val="18"/>
      <w:szCs w:val="20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5F03A1"/>
    <w:pPr>
      <w:tabs>
        <w:tab w:val="left" w:pos="567"/>
        <w:tab w:val="right" w:leader="dot" w:pos="9016"/>
      </w:tabs>
      <w:spacing w:after="100"/>
      <w:ind w:left="180"/>
    </w:pPr>
    <w:rPr>
      <w:rFonts w:asciiTheme="minorHAnsi" w:hAnsiTheme="minorHAnsi" w:cstheme="minorHAnsi"/>
      <w:noProof/>
      <w:sz w:val="28"/>
      <w:szCs w:val="28"/>
    </w:rPr>
  </w:style>
  <w:style w:type="paragraph" w:styleId="Revision">
    <w:name w:val="Revision"/>
    <w:hidden/>
    <w:uiPriority w:val="99"/>
    <w:semiHidden/>
    <w:rsid w:val="007F79C0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C0534633A7844AD478AA6D6E811BA" ma:contentTypeVersion="14" ma:contentTypeDescription="Create a new document." ma:contentTypeScope="" ma:versionID="7f16a05a55b506f0986d5212e00a6aca">
  <xsd:schema xmlns:xsd="http://www.w3.org/2001/XMLSchema" xmlns:xs="http://www.w3.org/2001/XMLSchema" xmlns:p="http://schemas.microsoft.com/office/2006/metadata/properties" xmlns:ns1="http://schemas.microsoft.com/sharepoint/v3" xmlns:ns2="5d4cffa3-2b40-41fb-9840-998f24650569" xmlns:ns3="4bdd9987-8d23-47fb-8c67-f2ed94b7ebd9" targetNamespace="http://schemas.microsoft.com/office/2006/metadata/properties" ma:root="true" ma:fieldsID="1149dd1a7d372810e0d17b254660a5c0" ns1:_="" ns2:_="" ns3:_="">
    <xsd:import namespace="http://schemas.microsoft.com/sharepoint/v3"/>
    <xsd:import namespace="5d4cffa3-2b40-41fb-9840-998f24650569"/>
    <xsd:import namespace="4bdd9987-8d23-47fb-8c67-f2ed94b7e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cffa3-2b40-41fb-9840-998f24650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d9987-8d23-47fb-8c67-f2ed94b7e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D1A531-EF3B-44AF-863E-01F4DDB3CF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58034F-3EEE-4834-838A-9611B6111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4cffa3-2b40-41fb-9840-998f24650569"/>
    <ds:schemaRef ds:uri="4bdd9987-8d23-47fb-8c67-f2ed94b7e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0F9B18-0994-4076-8D96-C7D789C70C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615C9D-230A-4E94-A3DA-BB3ABC96CB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875</Words>
  <Characters>4989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Fearnley-Brown</dc:creator>
  <cp:keywords/>
  <dc:description/>
  <cp:lastModifiedBy>Lee Duckworth</cp:lastModifiedBy>
  <cp:revision>2</cp:revision>
  <cp:lastPrinted>2020-01-02T11:26:00Z</cp:lastPrinted>
  <dcterms:created xsi:type="dcterms:W3CDTF">2022-02-14T14:16:00Z</dcterms:created>
  <dcterms:modified xsi:type="dcterms:W3CDTF">2022-02-14T14:16:00Z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0x0101009DCC0534633A7844AD478AA6D6E811BA</vt:lpwstr>
  </property>
</Properties>
</file>